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CF5B3" w14:textId="0DAD93A2" w:rsidR="00BC5B01" w:rsidRPr="00C13C68" w:rsidRDefault="00BC5B01" w:rsidP="00BC5B01">
      <w:pPr>
        <w:jc w:val="right"/>
        <w:rPr>
          <w:rFonts w:eastAsia="Times New Roman" w:cs="Times New Roman"/>
          <w:b/>
          <w:bCs/>
          <w:i/>
        </w:rPr>
      </w:pPr>
      <w:r w:rsidRPr="0050494D">
        <w:rPr>
          <w:noProof/>
          <w:color w:val="1F4E79" w:themeColor="accent1" w:themeShade="80"/>
        </w:rPr>
        <w:drawing>
          <wp:anchor distT="0" distB="0" distL="114300" distR="114300" simplePos="0" relativeHeight="251659264" behindDoc="0" locked="0" layoutInCell="1" allowOverlap="1" wp14:anchorId="03A5BC31" wp14:editId="03021590">
            <wp:simplePos x="0" y="0"/>
            <wp:positionH relativeFrom="margin">
              <wp:posOffset>2822575</wp:posOffset>
            </wp:positionH>
            <wp:positionV relativeFrom="paragraph">
              <wp:posOffset>0</wp:posOffset>
            </wp:positionV>
            <wp:extent cx="1102360" cy="1076325"/>
            <wp:effectExtent l="0" t="0" r="2540" b="9525"/>
            <wp:wrapSquare wrapText="bothSides"/>
            <wp:docPr id="1" name="Picture 1" descr="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a"/>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2360" cy="1076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7A7E37" w14:textId="77777777" w:rsidR="00BC5B01" w:rsidRDefault="00BC5B01" w:rsidP="00BC5B01">
      <w:pPr>
        <w:spacing w:after="0"/>
        <w:jc w:val="center"/>
        <w:rPr>
          <w:rFonts w:eastAsia="Times New Roman" w:cs="Times New Roman"/>
          <w:b/>
          <w:bCs/>
          <w:sz w:val="28"/>
          <w:szCs w:val="28"/>
        </w:rPr>
      </w:pPr>
    </w:p>
    <w:p w14:paraId="7548C192" w14:textId="77777777" w:rsidR="00BC5B01" w:rsidRDefault="00BC5B01" w:rsidP="00BC5B01">
      <w:pPr>
        <w:spacing w:after="0"/>
        <w:jc w:val="center"/>
        <w:rPr>
          <w:rFonts w:eastAsia="Times New Roman" w:cs="Times New Roman"/>
          <w:b/>
          <w:bCs/>
          <w:sz w:val="28"/>
          <w:szCs w:val="28"/>
        </w:rPr>
      </w:pPr>
    </w:p>
    <w:p w14:paraId="0336E3B9" w14:textId="77777777" w:rsidR="00BC5B01" w:rsidRPr="00531B65" w:rsidRDefault="00BC5B01" w:rsidP="00BC5B01">
      <w:pPr>
        <w:spacing w:after="0"/>
        <w:jc w:val="center"/>
        <w:rPr>
          <w:rFonts w:eastAsia="Times New Roman" w:cs="Times New Roman"/>
          <w:b/>
          <w:bCs/>
          <w:sz w:val="18"/>
          <w:szCs w:val="28"/>
        </w:rPr>
      </w:pPr>
    </w:p>
    <w:p w14:paraId="6BCAD00D" w14:textId="77777777" w:rsidR="00BC5B01" w:rsidRPr="00250F73" w:rsidRDefault="00BC5B01" w:rsidP="00BC5B01">
      <w:pPr>
        <w:spacing w:after="0"/>
        <w:jc w:val="center"/>
        <w:rPr>
          <w:rFonts w:eastAsia="Times New Roman" w:cs="Times New Roman"/>
          <w:b/>
          <w:bCs/>
          <w:sz w:val="18"/>
          <w:szCs w:val="28"/>
        </w:rPr>
      </w:pPr>
    </w:p>
    <w:p w14:paraId="5E9C6421" w14:textId="77777777" w:rsidR="00BC5B01" w:rsidRPr="00AC09E4" w:rsidRDefault="00BC5B01" w:rsidP="005845B2">
      <w:pPr>
        <w:spacing w:after="0"/>
        <w:ind w:firstLine="0"/>
        <w:jc w:val="center"/>
        <w:rPr>
          <w:rFonts w:eastAsia="Times New Roman"/>
          <w:bCs/>
          <w:color w:val="1F4E79" w:themeColor="accent1" w:themeShade="80"/>
          <w:sz w:val="28"/>
          <w:szCs w:val="28"/>
        </w:rPr>
      </w:pPr>
      <w:r w:rsidRPr="00AC09E4">
        <w:rPr>
          <w:rFonts w:eastAsia="Times New Roman"/>
          <w:bCs/>
          <w:color w:val="1F4E79" w:themeColor="accent1" w:themeShade="80"/>
          <w:sz w:val="28"/>
          <w:szCs w:val="28"/>
        </w:rPr>
        <w:t>ՀԱՅԱՍՏԱՆԻ ՀԱՆՐԱՊԵՏՈՒԹՅԱՆ ՀԱՇՎԵՔՆՆԻՉ ՊԱԼԱՏ</w:t>
      </w:r>
    </w:p>
    <w:p w14:paraId="30BA3C00" w14:textId="77777777" w:rsidR="00BC5B01" w:rsidRPr="00405DB3" w:rsidRDefault="00BC5B01" w:rsidP="005845B2">
      <w:pPr>
        <w:spacing w:after="0"/>
        <w:ind w:firstLine="0"/>
        <w:jc w:val="center"/>
        <w:rPr>
          <w:rFonts w:eastAsia="Times New Roman"/>
          <w:bCs/>
          <w:color w:val="1F4E79" w:themeColor="accent1" w:themeShade="80"/>
          <w:sz w:val="14"/>
          <w:szCs w:val="28"/>
        </w:rPr>
      </w:pPr>
    </w:p>
    <w:p w14:paraId="739CA90F" w14:textId="77777777" w:rsidR="00BC5B01" w:rsidRPr="002B69B6" w:rsidRDefault="00BC5B01" w:rsidP="005845B2">
      <w:pPr>
        <w:spacing w:after="0"/>
        <w:ind w:firstLine="0"/>
        <w:jc w:val="center"/>
        <w:rPr>
          <w:rFonts w:eastAsia="Times New Roman"/>
          <w:b/>
          <w:bCs/>
          <w:color w:val="1F4E79" w:themeColor="accent1" w:themeShade="80"/>
          <w:sz w:val="28"/>
          <w:szCs w:val="28"/>
        </w:rPr>
      </w:pPr>
      <w:r w:rsidRPr="002B69B6">
        <w:rPr>
          <w:rFonts w:eastAsia="Times New Roman"/>
          <w:b/>
          <w:bCs/>
          <w:color w:val="1F4E79" w:themeColor="accent1" w:themeShade="80"/>
          <w:sz w:val="28"/>
          <w:szCs w:val="28"/>
        </w:rPr>
        <w:t>Ո Ր Ո Շ ՈՒ Մ</w:t>
      </w:r>
    </w:p>
    <w:p w14:paraId="5C0E9537" w14:textId="77777777" w:rsidR="00BC5B01" w:rsidRPr="00531B65" w:rsidRDefault="00BC5B01" w:rsidP="005845B2">
      <w:pPr>
        <w:spacing w:after="0"/>
        <w:ind w:firstLine="0"/>
        <w:jc w:val="center"/>
        <w:rPr>
          <w:rFonts w:eastAsia="Times New Roman"/>
          <w:bCs/>
          <w:color w:val="1F4E79" w:themeColor="accent1" w:themeShade="80"/>
          <w:sz w:val="16"/>
          <w:szCs w:val="28"/>
        </w:rPr>
      </w:pPr>
    </w:p>
    <w:p w14:paraId="367F470F" w14:textId="0BA26D95" w:rsidR="00BC5B01" w:rsidRPr="00AC09E4" w:rsidRDefault="00BC5B01" w:rsidP="005845B2">
      <w:pPr>
        <w:spacing w:after="0" w:line="360" w:lineRule="auto"/>
        <w:ind w:firstLine="0"/>
        <w:jc w:val="center"/>
        <w:rPr>
          <w:rFonts w:eastAsia="Times New Roman"/>
          <w:bCs/>
          <w:color w:val="1F4E79" w:themeColor="accent1" w:themeShade="80"/>
          <w:szCs w:val="28"/>
        </w:rPr>
      </w:pPr>
      <w:r w:rsidRPr="00AC09E4">
        <w:rPr>
          <w:rFonts w:eastAsia="Times New Roman"/>
          <w:bCs/>
          <w:color w:val="1F4E79" w:themeColor="accent1" w:themeShade="80"/>
          <w:szCs w:val="28"/>
        </w:rPr>
        <w:t>202</w:t>
      </w:r>
      <w:r w:rsidRPr="003B7EB2">
        <w:rPr>
          <w:rFonts w:eastAsia="Times New Roman"/>
          <w:bCs/>
          <w:color w:val="1F4E79" w:themeColor="accent1" w:themeShade="80"/>
          <w:szCs w:val="28"/>
        </w:rPr>
        <w:t>5</w:t>
      </w:r>
      <w:r w:rsidRPr="00AC09E4">
        <w:rPr>
          <w:rFonts w:eastAsia="Times New Roman"/>
          <w:bCs/>
          <w:color w:val="1F4E79" w:themeColor="accent1" w:themeShade="80"/>
          <w:szCs w:val="28"/>
        </w:rPr>
        <w:t xml:space="preserve"> թվականի </w:t>
      </w:r>
      <w:r w:rsidR="008D5391" w:rsidRPr="008D5391">
        <w:rPr>
          <w:rFonts w:eastAsia="Times New Roman"/>
          <w:bCs/>
          <w:color w:val="1F4E79" w:themeColor="accent1" w:themeShade="80"/>
          <w:szCs w:val="28"/>
        </w:rPr>
        <w:t>դեկտեմբերի 2</w:t>
      </w:r>
      <w:r w:rsidR="00E37766">
        <w:rPr>
          <w:rFonts w:eastAsia="Times New Roman"/>
          <w:bCs/>
          <w:color w:val="1F4E79" w:themeColor="accent1" w:themeShade="80"/>
          <w:szCs w:val="28"/>
          <w:lang w:val="en-US"/>
        </w:rPr>
        <w:t>5</w:t>
      </w:r>
      <w:r w:rsidRPr="00AC09E4">
        <w:rPr>
          <w:rFonts w:eastAsia="Times New Roman"/>
          <w:bCs/>
          <w:color w:val="1F4E79" w:themeColor="accent1" w:themeShade="80"/>
          <w:szCs w:val="28"/>
        </w:rPr>
        <w:t xml:space="preserve">-ի թիվ </w:t>
      </w:r>
      <w:r w:rsidRPr="00443956">
        <w:rPr>
          <w:rFonts w:eastAsia="Times New Roman"/>
          <w:bCs/>
          <w:color w:val="1F4E79" w:themeColor="accent1" w:themeShade="80"/>
          <w:szCs w:val="28"/>
        </w:rPr>
        <w:t>8</w:t>
      </w:r>
      <w:r w:rsidR="008D5391" w:rsidRPr="008D5391">
        <w:rPr>
          <w:rFonts w:eastAsia="Times New Roman"/>
          <w:bCs/>
          <w:color w:val="1F4E79" w:themeColor="accent1" w:themeShade="80"/>
          <w:szCs w:val="28"/>
        </w:rPr>
        <w:t>3</w:t>
      </w:r>
      <w:r w:rsidRPr="00AC09E4">
        <w:rPr>
          <w:rFonts w:eastAsia="Times New Roman"/>
          <w:bCs/>
          <w:color w:val="1F4E79" w:themeColor="accent1" w:themeShade="80"/>
          <w:szCs w:val="28"/>
        </w:rPr>
        <w:t>-Լ</w:t>
      </w:r>
    </w:p>
    <w:p w14:paraId="4BD5C963" w14:textId="77777777" w:rsidR="00BC5B01" w:rsidRPr="00405DB3" w:rsidRDefault="00BC5B01" w:rsidP="005845B2">
      <w:pPr>
        <w:spacing w:after="0" w:line="360" w:lineRule="auto"/>
        <w:ind w:firstLine="0"/>
        <w:rPr>
          <w:rFonts w:eastAsia="Times New Roman"/>
          <w:bCs/>
          <w:color w:val="1F4E79" w:themeColor="accent1" w:themeShade="80"/>
          <w:sz w:val="14"/>
          <w:szCs w:val="28"/>
        </w:rPr>
      </w:pPr>
    </w:p>
    <w:p w14:paraId="403B73B2" w14:textId="77777777" w:rsidR="00665D48" w:rsidRPr="00405DB3" w:rsidRDefault="00665D48" w:rsidP="00665D48">
      <w:pPr>
        <w:spacing w:after="0" w:line="360" w:lineRule="auto"/>
        <w:ind w:firstLine="0"/>
        <w:rPr>
          <w:rFonts w:eastAsia="Times New Roman"/>
          <w:bCs/>
          <w:color w:val="1F4E79" w:themeColor="accent1" w:themeShade="80"/>
          <w:sz w:val="14"/>
          <w:szCs w:val="28"/>
        </w:rPr>
      </w:pPr>
    </w:p>
    <w:p w14:paraId="43D25C30" w14:textId="7623C079" w:rsidR="00665D48" w:rsidRPr="00394D49" w:rsidRDefault="00665D48" w:rsidP="00665D48">
      <w:pPr>
        <w:spacing w:after="0" w:line="240" w:lineRule="auto"/>
        <w:ind w:firstLine="0"/>
        <w:jc w:val="center"/>
        <w:rPr>
          <w:rFonts w:cs="Sylfaen"/>
        </w:rPr>
      </w:pPr>
      <w:r w:rsidRPr="00394D49">
        <w:rPr>
          <w:rFonts w:cs="Sylfaen"/>
        </w:rPr>
        <w:t>ՀԱՇՎԵՔՆՆԻՉ ՊԱԼԱՏԻ 2025 ԹՎԱԿԱՆԻ ՆՈՅԵՄԲԵՐԻ 27-Ի «ԳՈՐԾՈՒՆԵՈՒԹՅԱՆ ԾՐԱԳԻՐԸ ՀԱՍՏԱՏԵԼՈՒ ՄԱՍԻՆ» № 81-Լ ՈՐՈՇՄԱՆ ՄԵՋ ԼՐԱՑՈՒՄ</w:t>
      </w:r>
      <w:r w:rsidR="00F84823" w:rsidRPr="00394D49">
        <w:rPr>
          <w:rFonts w:cs="Sylfaen"/>
        </w:rPr>
        <w:t>ՆԵՐ</w:t>
      </w:r>
      <w:r w:rsidRPr="00394D49">
        <w:rPr>
          <w:rFonts w:cs="Sylfaen"/>
        </w:rPr>
        <w:t xml:space="preserve"> ԿԱՏԱՐԵԼՈՒ ՄԱՍԻՆ</w:t>
      </w:r>
    </w:p>
    <w:p w14:paraId="6AC6EE3A" w14:textId="1C3401F6" w:rsidR="00BC5B01" w:rsidRPr="00C13C68" w:rsidRDefault="00BC5B01" w:rsidP="00665D48">
      <w:pPr>
        <w:spacing w:after="0" w:line="240" w:lineRule="auto"/>
        <w:ind w:firstLine="0"/>
        <w:jc w:val="center"/>
        <w:rPr>
          <w:rFonts w:cs="Sylfaen"/>
        </w:rPr>
      </w:pPr>
    </w:p>
    <w:p w14:paraId="6CAE0840" w14:textId="00EE287E" w:rsidR="00BC5B01" w:rsidRPr="00C13C68" w:rsidRDefault="00BC5B01" w:rsidP="00BC5B01">
      <w:pPr>
        <w:spacing w:after="0"/>
        <w:ind w:firstLine="720"/>
        <w:rPr>
          <w:rFonts w:cs="Sylfaen"/>
        </w:rPr>
      </w:pPr>
      <w:bookmarkStart w:id="0" w:name="_Hlk522115957"/>
      <w:r w:rsidRPr="00C13C68">
        <w:rPr>
          <w:rFonts w:cs="Sylfaen"/>
        </w:rPr>
        <w:t>Ղեկավարվելով</w:t>
      </w:r>
      <w:r w:rsidRPr="00C13C68">
        <w:t xml:space="preserve"> </w:t>
      </w:r>
      <w:r w:rsidRPr="00C13C68">
        <w:rPr>
          <w:rFonts w:cs="Sylfaen"/>
        </w:rPr>
        <w:t>Հաշվեքննիչ</w:t>
      </w:r>
      <w:r w:rsidRPr="00C13C68">
        <w:t xml:space="preserve"> </w:t>
      </w:r>
      <w:r w:rsidRPr="00C13C68">
        <w:rPr>
          <w:rFonts w:cs="Sylfaen"/>
        </w:rPr>
        <w:t>պալատի</w:t>
      </w:r>
      <w:r w:rsidRPr="00C13C68">
        <w:t xml:space="preserve"> </w:t>
      </w:r>
      <w:r w:rsidRPr="00C13C68">
        <w:rPr>
          <w:rFonts w:cs="Sylfaen"/>
        </w:rPr>
        <w:t>մասին</w:t>
      </w:r>
      <w:r w:rsidRPr="00C13C68">
        <w:t xml:space="preserve"> </w:t>
      </w:r>
      <w:r w:rsidRPr="00C13C68">
        <w:rPr>
          <w:rFonts w:cs="Sylfaen"/>
        </w:rPr>
        <w:t>օրենքի</w:t>
      </w:r>
      <w:r w:rsidRPr="00C13C68">
        <w:t xml:space="preserve"> 1</w:t>
      </w:r>
      <w:r w:rsidRPr="003B7EB2">
        <w:t>0</w:t>
      </w:r>
      <w:r w:rsidRPr="00C13C68">
        <w:t>-</w:t>
      </w:r>
      <w:r w:rsidRPr="00C13C68">
        <w:rPr>
          <w:rFonts w:cs="Sylfaen"/>
        </w:rPr>
        <w:t>րդ</w:t>
      </w:r>
      <w:r w:rsidRPr="00C13C68">
        <w:t xml:space="preserve"> </w:t>
      </w:r>
      <w:r w:rsidRPr="00C13C68">
        <w:rPr>
          <w:rFonts w:cs="Sylfaen"/>
        </w:rPr>
        <w:t>հոդվածի</w:t>
      </w:r>
      <w:r w:rsidRPr="00C13C68">
        <w:t xml:space="preserve"> </w:t>
      </w:r>
      <w:r w:rsidRPr="003B7EB2">
        <w:t>1-ին</w:t>
      </w:r>
      <w:r w:rsidRPr="00C13C68">
        <w:t xml:space="preserve"> </w:t>
      </w:r>
      <w:r w:rsidRPr="00C13C68">
        <w:rPr>
          <w:rFonts w:cs="Sylfaen"/>
        </w:rPr>
        <w:t>մասի</w:t>
      </w:r>
      <w:r w:rsidRPr="00C13C68">
        <w:t xml:space="preserve"> </w:t>
      </w:r>
      <w:r w:rsidR="00665D48" w:rsidRPr="002F0F06">
        <w:rPr>
          <w:rFonts w:eastAsia="Times New Roman" w:cs="Times New Roman"/>
          <w:color w:val="000000" w:themeColor="text1"/>
        </w:rPr>
        <w:t>և 11-րդ կետ</w:t>
      </w:r>
      <w:r w:rsidR="00F84823" w:rsidRPr="00F84823">
        <w:rPr>
          <w:rFonts w:eastAsia="Times New Roman" w:cs="Times New Roman"/>
          <w:color w:val="000000" w:themeColor="text1"/>
        </w:rPr>
        <w:t>ո</w:t>
      </w:r>
      <w:r w:rsidR="00665D48" w:rsidRPr="002F0F06">
        <w:rPr>
          <w:rFonts w:eastAsia="Times New Roman" w:cs="Times New Roman"/>
          <w:color w:val="000000" w:themeColor="text1"/>
        </w:rPr>
        <w:t>վ</w:t>
      </w:r>
      <w:r w:rsidR="00665D48" w:rsidRPr="00665D48">
        <w:rPr>
          <w:rFonts w:eastAsia="Times New Roman" w:cs="Times New Roman"/>
          <w:color w:val="000000" w:themeColor="text1"/>
        </w:rPr>
        <w:t>,</w:t>
      </w:r>
      <w:r w:rsidRPr="00C13C68">
        <w:t xml:space="preserve"> 2</w:t>
      </w:r>
      <w:r w:rsidRPr="003B7EB2">
        <w:t>1</w:t>
      </w:r>
      <w:r w:rsidRPr="00C13C68">
        <w:t xml:space="preserve">-րդ հոդվածի </w:t>
      </w:r>
      <w:r w:rsidR="00665D48" w:rsidRPr="00665D48">
        <w:t>3-րդ</w:t>
      </w:r>
      <w:r w:rsidRPr="00C13C68">
        <w:t xml:space="preserve"> մասով</w:t>
      </w:r>
      <w:r w:rsidR="00665D48" w:rsidRPr="00665D48">
        <w:t xml:space="preserve">, </w:t>
      </w:r>
      <w:r w:rsidR="00665D48" w:rsidRPr="002F0F06">
        <w:rPr>
          <w:rFonts w:eastAsia="Times New Roman" w:cs="Times New Roman"/>
          <w:color w:val="000000" w:themeColor="text1"/>
        </w:rPr>
        <w:t>և «Նորմատիվ իրավական ակտերի մասին» օրենքի 33-րդ 3-րդ մասով</w:t>
      </w:r>
      <w:r w:rsidR="00665D48" w:rsidRPr="00C13C68">
        <w:rPr>
          <w:rFonts w:eastAsia="Times New Roman" w:cs="Times New Roman"/>
        </w:rPr>
        <w:t xml:space="preserve"> </w:t>
      </w:r>
      <w:r w:rsidRPr="00C13C68">
        <w:rPr>
          <w:rFonts w:eastAsia="Times New Roman" w:cs="Times New Roman"/>
        </w:rPr>
        <w:t>՝</w:t>
      </w:r>
      <w:r w:rsidRPr="00C13C68">
        <w:rPr>
          <w:rFonts w:cs="Sylfaen"/>
        </w:rPr>
        <w:t xml:space="preserve"> Հաշվեքննիչ</w:t>
      </w:r>
      <w:r w:rsidRPr="00C13C68">
        <w:t xml:space="preserve"> </w:t>
      </w:r>
      <w:r w:rsidRPr="00C13C68">
        <w:rPr>
          <w:rFonts w:cs="Sylfaen"/>
        </w:rPr>
        <w:t>պալատը</w:t>
      </w:r>
    </w:p>
    <w:bookmarkEnd w:id="0"/>
    <w:p w14:paraId="6B7F6FB7" w14:textId="77777777" w:rsidR="00BC5B01" w:rsidRPr="00EF1FCB" w:rsidRDefault="00BC5B01" w:rsidP="00BC5B01">
      <w:pPr>
        <w:spacing w:after="0" w:line="360" w:lineRule="auto"/>
        <w:jc w:val="center"/>
        <w:rPr>
          <w:b/>
          <w:bCs/>
          <w:sz w:val="18"/>
        </w:rPr>
      </w:pPr>
      <w:r w:rsidRPr="00EF1FCB">
        <w:rPr>
          <w:b/>
          <w:bCs/>
          <w:sz w:val="18"/>
        </w:rPr>
        <w:t xml:space="preserve"> </w:t>
      </w:r>
    </w:p>
    <w:p w14:paraId="12EDB20D" w14:textId="77777777" w:rsidR="00BC5B01" w:rsidRPr="00C13C68" w:rsidRDefault="00BC5B01" w:rsidP="00BC5B01">
      <w:pPr>
        <w:spacing w:after="0" w:line="360" w:lineRule="auto"/>
        <w:jc w:val="center"/>
        <w:rPr>
          <w:b/>
          <w:bCs/>
        </w:rPr>
      </w:pPr>
      <w:r w:rsidRPr="00C13C68">
        <w:rPr>
          <w:b/>
          <w:bCs/>
        </w:rPr>
        <w:t>Ո Ր Ո Շ ՈՒ Մ  Է`</w:t>
      </w:r>
    </w:p>
    <w:p w14:paraId="43D445DC" w14:textId="77777777" w:rsidR="00BC5B01" w:rsidRPr="0062070D" w:rsidRDefault="00BC5B01" w:rsidP="00BC5B01">
      <w:pPr>
        <w:spacing w:after="0" w:line="360" w:lineRule="auto"/>
        <w:jc w:val="center"/>
        <w:rPr>
          <w:b/>
          <w:bCs/>
          <w:sz w:val="12"/>
        </w:rPr>
      </w:pPr>
    </w:p>
    <w:p w14:paraId="760961B7" w14:textId="77777777" w:rsidR="00665D48" w:rsidRPr="00024B3B" w:rsidRDefault="00665D48" w:rsidP="00665D48">
      <w:pPr>
        <w:pStyle w:val="Subtitle"/>
        <w:numPr>
          <w:ilvl w:val="0"/>
          <w:numId w:val="18"/>
        </w:numPr>
        <w:tabs>
          <w:tab w:val="left" w:pos="851"/>
        </w:tabs>
        <w:spacing w:before="0" w:after="120" w:line="276" w:lineRule="auto"/>
        <w:ind w:left="284"/>
        <w:rPr>
          <w:rFonts w:eastAsia="Times New Roman" w:cs="Times New Roman"/>
          <w:b w:val="0"/>
          <w:bCs w:val="0"/>
          <w:color w:val="000000" w:themeColor="text1"/>
        </w:rPr>
      </w:pPr>
      <w:bookmarkStart w:id="1" w:name="_Hlk204165105"/>
      <w:r w:rsidRPr="00024B3B">
        <w:rPr>
          <w:rFonts w:eastAsia="Times New Roman" w:cs="Times New Roman"/>
          <w:b w:val="0"/>
          <w:bCs w:val="0"/>
          <w:color w:val="000000" w:themeColor="text1"/>
          <w:lang w:bidi="ar-SA"/>
        </w:rPr>
        <w:t xml:space="preserve">Հաշվեքննիչ պալատի 2025 թվականի նոյեմբերի 27-ի «Հաշվեքննիչ պալատի 2026 թվականի գործունեության ծրագիրը հաստատելու մասին» № 81-Լ որոշման հավելվածում կատարել </w:t>
      </w:r>
      <w:r w:rsidRPr="00024B3B">
        <w:rPr>
          <w:rFonts w:eastAsia="Times New Roman" w:cs="Times New Roman"/>
          <w:b w:val="0"/>
          <w:color w:val="000000" w:themeColor="text1"/>
        </w:rPr>
        <w:t>հետևյալ լրացումները՝</w:t>
      </w:r>
    </w:p>
    <w:p w14:paraId="569BD6A6" w14:textId="63ED40E9" w:rsidR="00665D48" w:rsidRDefault="00665D48" w:rsidP="006606F4">
      <w:pPr>
        <w:pStyle w:val="ListParagraph"/>
        <w:numPr>
          <w:ilvl w:val="0"/>
          <w:numId w:val="23"/>
        </w:numPr>
        <w:tabs>
          <w:tab w:val="left" w:pos="851"/>
        </w:tabs>
        <w:spacing w:after="0" w:line="276" w:lineRule="auto"/>
        <w:rPr>
          <w:rFonts w:cs="Sylfaen"/>
          <w:lang w:val="hy-AM"/>
        </w:rPr>
      </w:pPr>
      <w:r w:rsidRPr="006606F4">
        <w:rPr>
          <w:rFonts w:eastAsia="Times New Roman" w:cs="Times New Roman"/>
          <w:color w:val="000000" w:themeColor="text1"/>
          <w:lang w:val="hy-AM"/>
        </w:rPr>
        <w:t xml:space="preserve">«Հաշվեքննիչ պալատի 2026 թվականի գործունեության ծրագրում ներառված հաշվեքննությունների թեմաները և միջոցառումները» </w:t>
      </w:r>
      <w:r w:rsidRPr="00D875E0">
        <w:rPr>
          <w:rFonts w:eastAsia="Times New Roman" w:cs="Times New Roman"/>
          <w:color w:val="000000" w:themeColor="text1"/>
          <w:lang w:val="hy-AM"/>
        </w:rPr>
        <w:t>մասի 1-ին</w:t>
      </w:r>
      <w:r w:rsidRPr="006606F4">
        <w:rPr>
          <w:rFonts w:cs="Sylfaen"/>
          <w:lang w:val="hy-AM"/>
        </w:rPr>
        <w:t xml:space="preserve"> բաժնի </w:t>
      </w:r>
      <w:r w:rsidR="00BC32B6" w:rsidRPr="00BC32B6">
        <w:rPr>
          <w:rFonts w:cs="Sylfaen"/>
          <w:lang w:val="hy-AM"/>
        </w:rPr>
        <w:t>7</w:t>
      </w:r>
      <w:r w:rsidRPr="006606F4">
        <w:rPr>
          <w:rFonts w:cs="Sylfaen"/>
          <w:lang w:val="hy-AM"/>
        </w:rPr>
        <w:t xml:space="preserve">-րդ կետից հետո լրացնել նոր </w:t>
      </w:r>
      <w:r w:rsidR="00BC32B6" w:rsidRPr="00BC32B6">
        <w:rPr>
          <w:rFonts w:cs="Sylfaen"/>
          <w:lang w:val="hy-AM"/>
        </w:rPr>
        <w:t>7.1</w:t>
      </w:r>
      <w:r w:rsidRPr="006606F4">
        <w:rPr>
          <w:rFonts w:cs="Sylfaen"/>
          <w:lang w:val="hy-AM"/>
        </w:rPr>
        <w:t>-</w:t>
      </w:r>
      <w:r w:rsidR="00F84823" w:rsidRPr="00F84823">
        <w:rPr>
          <w:rFonts w:cs="Sylfaen"/>
          <w:lang w:val="hy-AM"/>
        </w:rPr>
        <w:t>ին</w:t>
      </w:r>
      <w:r w:rsidRPr="006606F4">
        <w:rPr>
          <w:rFonts w:cs="Sylfaen"/>
          <w:lang w:val="hy-AM"/>
        </w:rPr>
        <w:t xml:space="preserve"> </w:t>
      </w:r>
      <w:r w:rsidR="006606F4" w:rsidRPr="006606F4">
        <w:rPr>
          <w:rFonts w:cs="Sylfaen"/>
          <w:lang w:val="hy-AM"/>
        </w:rPr>
        <w:t xml:space="preserve">և </w:t>
      </w:r>
      <w:r w:rsidR="00BC32B6" w:rsidRPr="00BC32B6">
        <w:rPr>
          <w:rFonts w:cs="Sylfaen"/>
          <w:lang w:val="hy-AM"/>
        </w:rPr>
        <w:t>7.2</w:t>
      </w:r>
      <w:r w:rsidR="006606F4" w:rsidRPr="006606F4">
        <w:rPr>
          <w:rFonts w:cs="Sylfaen"/>
          <w:lang w:val="hy-AM"/>
        </w:rPr>
        <w:t xml:space="preserve">-րդ </w:t>
      </w:r>
      <w:r w:rsidRPr="006606F4">
        <w:rPr>
          <w:rFonts w:cs="Sylfaen"/>
          <w:lang w:val="hy-AM"/>
        </w:rPr>
        <w:t>կետ</w:t>
      </w:r>
      <w:r w:rsidR="006606F4" w:rsidRPr="006606F4">
        <w:rPr>
          <w:rFonts w:cs="Sylfaen"/>
          <w:lang w:val="hy-AM"/>
        </w:rPr>
        <w:t>եր՝</w:t>
      </w:r>
      <w:r w:rsidRPr="006606F4">
        <w:rPr>
          <w:rFonts w:cs="Sylfaen"/>
          <w:lang w:val="hy-AM"/>
        </w:rPr>
        <w:t xml:space="preserve"> հետևյալ բովանդակությամբ՝</w:t>
      </w:r>
    </w:p>
    <w:p w14:paraId="27C388E7" w14:textId="04CA108B" w:rsidR="00F84823" w:rsidRPr="00F84823" w:rsidRDefault="00F84823" w:rsidP="00F84823">
      <w:pPr>
        <w:tabs>
          <w:tab w:val="left" w:pos="851"/>
        </w:tabs>
        <w:spacing w:after="0" w:line="276" w:lineRule="auto"/>
        <w:ind w:firstLine="0"/>
        <w:rPr>
          <w:rFonts w:cs="Sylfaen"/>
          <w:lang w:val="en-US"/>
        </w:rPr>
      </w:pPr>
      <w:r>
        <w:rPr>
          <w:rFonts w:cs="Sylfaen"/>
          <w:lang w:val="en-US"/>
        </w:rPr>
        <w:t>«</w:t>
      </w:r>
    </w:p>
    <w:bookmarkEnd w:id="1"/>
    <w:p w14:paraId="0A1701E0" w14:textId="12E64CA1" w:rsidR="00665D48" w:rsidRDefault="00665D48" w:rsidP="006606F4">
      <w:pPr>
        <w:pStyle w:val="ListParagraph"/>
        <w:numPr>
          <w:ilvl w:val="0"/>
          <w:numId w:val="0"/>
        </w:numPr>
        <w:spacing w:after="0" w:line="240" w:lineRule="auto"/>
        <w:ind w:left="142"/>
        <w:rPr>
          <w:rFonts w:cs="Sylfaen"/>
          <w:sz w:val="8"/>
          <w:szCs w:val="8"/>
          <w:lang w:val="hy-AM"/>
        </w:rPr>
      </w:pPr>
    </w:p>
    <w:p w14:paraId="13BD093C" w14:textId="77777777" w:rsidR="006606F4" w:rsidRPr="006606F4" w:rsidRDefault="006606F4" w:rsidP="006606F4">
      <w:pPr>
        <w:pStyle w:val="ListParagraph"/>
        <w:numPr>
          <w:ilvl w:val="0"/>
          <w:numId w:val="0"/>
        </w:numPr>
        <w:spacing w:after="0" w:line="240" w:lineRule="auto"/>
        <w:ind w:left="142"/>
        <w:rPr>
          <w:rFonts w:cs="Sylfaen"/>
          <w:sz w:val="8"/>
          <w:szCs w:val="8"/>
          <w:lang w:val="hy-AM"/>
        </w:rPr>
      </w:pPr>
    </w:p>
    <w:tbl>
      <w:tblPr>
        <w:tblW w:w="10725" w:type="dxa"/>
        <w:tblInd w:w="-289" w:type="dxa"/>
        <w:tblLook w:val="04A0" w:firstRow="1" w:lastRow="0" w:firstColumn="1" w:lastColumn="0" w:noHBand="0" w:noVBand="1"/>
      </w:tblPr>
      <w:tblGrid>
        <w:gridCol w:w="461"/>
        <w:gridCol w:w="2147"/>
        <w:gridCol w:w="2298"/>
        <w:gridCol w:w="2391"/>
        <w:gridCol w:w="2369"/>
        <w:gridCol w:w="1059"/>
      </w:tblGrid>
      <w:tr w:rsidR="006606F4" w:rsidRPr="006606F4" w14:paraId="22444E35" w14:textId="77777777" w:rsidTr="00D875E0">
        <w:trPr>
          <w:trHeight w:val="810"/>
        </w:trPr>
        <w:tc>
          <w:tcPr>
            <w:tcW w:w="4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669E3" w14:textId="54804148" w:rsidR="006606F4" w:rsidRPr="006606F4" w:rsidRDefault="00BC32B6" w:rsidP="006606F4">
            <w:pPr>
              <w:spacing w:after="0" w:line="240" w:lineRule="auto"/>
              <w:ind w:firstLine="0"/>
              <w:jc w:val="center"/>
              <w:rPr>
                <w:rFonts w:eastAsia="Times New Roman" w:cs="Calibri"/>
                <w:color w:val="000000"/>
                <w:sz w:val="18"/>
                <w:szCs w:val="18"/>
                <w:lang w:val="en-GB"/>
              </w:rPr>
            </w:pPr>
            <w:r>
              <w:rPr>
                <w:rFonts w:eastAsia="Times New Roman" w:cs="Calibri"/>
                <w:color w:val="000000"/>
                <w:sz w:val="18"/>
                <w:szCs w:val="18"/>
                <w:lang w:val="en-GB" w:bidi="hi-IN"/>
              </w:rPr>
              <w:t>7.1</w:t>
            </w:r>
          </w:p>
        </w:tc>
        <w:tc>
          <w:tcPr>
            <w:tcW w:w="2162" w:type="dxa"/>
            <w:tcBorders>
              <w:top w:val="single" w:sz="4" w:space="0" w:color="auto"/>
              <w:left w:val="nil"/>
              <w:bottom w:val="single" w:sz="4" w:space="0" w:color="auto"/>
              <w:right w:val="single" w:sz="4" w:space="0" w:color="auto"/>
            </w:tcBorders>
            <w:shd w:val="clear" w:color="auto" w:fill="auto"/>
            <w:vAlign w:val="center"/>
            <w:hideMark/>
          </w:tcPr>
          <w:p w14:paraId="57591C54" w14:textId="77777777" w:rsidR="006606F4" w:rsidRPr="006606F4" w:rsidRDefault="006606F4" w:rsidP="006606F4">
            <w:pPr>
              <w:spacing w:after="0" w:line="240" w:lineRule="auto"/>
              <w:ind w:firstLine="0"/>
              <w:jc w:val="left"/>
              <w:rPr>
                <w:rFonts w:eastAsia="Times New Roman" w:cs="Calibri"/>
                <w:color w:val="000000"/>
                <w:sz w:val="18"/>
                <w:szCs w:val="18"/>
                <w:lang w:val="en-US"/>
              </w:rPr>
            </w:pPr>
            <w:r w:rsidRPr="006606F4">
              <w:rPr>
                <w:rFonts w:eastAsia="Times New Roman" w:cs="Calibri"/>
                <w:color w:val="000000"/>
                <w:sz w:val="18"/>
                <w:szCs w:val="18"/>
                <w:lang w:bidi="hi-IN"/>
              </w:rPr>
              <w:t>ՀՀ ֆինանսների նախարարություն</w:t>
            </w:r>
          </w:p>
        </w:tc>
        <w:tc>
          <w:tcPr>
            <w:tcW w:w="2334" w:type="dxa"/>
            <w:tcBorders>
              <w:top w:val="single" w:sz="4" w:space="0" w:color="auto"/>
              <w:left w:val="nil"/>
              <w:bottom w:val="single" w:sz="4" w:space="0" w:color="auto"/>
              <w:right w:val="single" w:sz="4" w:space="0" w:color="auto"/>
            </w:tcBorders>
            <w:shd w:val="clear" w:color="auto" w:fill="auto"/>
            <w:vAlign w:val="center"/>
            <w:hideMark/>
          </w:tcPr>
          <w:p w14:paraId="10A0ADE4" w14:textId="193ACA81" w:rsidR="006606F4" w:rsidRPr="00F84823" w:rsidRDefault="006606F4" w:rsidP="006606F4">
            <w:pPr>
              <w:spacing w:after="0" w:line="240" w:lineRule="auto"/>
              <w:ind w:firstLine="0"/>
              <w:jc w:val="left"/>
              <w:rPr>
                <w:rFonts w:eastAsia="Times New Roman" w:cs="Calibri"/>
                <w:color w:val="000000"/>
                <w:sz w:val="18"/>
                <w:szCs w:val="18"/>
                <w:lang w:val="en-US"/>
              </w:rPr>
            </w:pPr>
            <w:r w:rsidRPr="006606F4">
              <w:rPr>
                <w:rFonts w:ascii="Calibri" w:eastAsia="Times New Roman" w:hAnsi="Calibri" w:cs="Calibri"/>
                <w:color w:val="000000"/>
                <w:sz w:val="18"/>
                <w:szCs w:val="18"/>
                <w:lang w:bidi="hi-IN"/>
              </w:rPr>
              <w:t> </w:t>
            </w:r>
            <w:r w:rsidRPr="006606F4">
              <w:rPr>
                <w:rFonts w:eastAsia="Times New Roman" w:cs="GHEA Grapalat"/>
                <w:color w:val="000000"/>
                <w:sz w:val="18"/>
                <w:szCs w:val="18"/>
                <w:lang w:bidi="hi-IN"/>
              </w:rPr>
              <w:t>Պետական</w:t>
            </w:r>
            <w:r w:rsidRPr="006606F4">
              <w:rPr>
                <w:rFonts w:eastAsia="Times New Roman" w:cs="Calibri"/>
                <w:color w:val="000000"/>
                <w:sz w:val="18"/>
                <w:szCs w:val="18"/>
                <w:lang w:bidi="hi-IN"/>
              </w:rPr>
              <w:t xml:space="preserve"> </w:t>
            </w:r>
            <w:r w:rsidRPr="006606F4">
              <w:rPr>
                <w:rFonts w:eastAsia="Times New Roman" w:cs="GHEA Grapalat"/>
                <w:color w:val="000000"/>
                <w:sz w:val="18"/>
                <w:szCs w:val="18"/>
                <w:lang w:bidi="hi-IN"/>
              </w:rPr>
              <w:t>ֆինանսների</w:t>
            </w:r>
            <w:r w:rsidRPr="006606F4">
              <w:rPr>
                <w:rFonts w:eastAsia="Times New Roman" w:cs="Calibri"/>
                <w:color w:val="000000"/>
                <w:sz w:val="18"/>
                <w:szCs w:val="18"/>
                <w:lang w:bidi="hi-IN"/>
              </w:rPr>
              <w:t xml:space="preserve"> կառավարման համակարգի բարեփոխումներ </w:t>
            </w:r>
            <w:r w:rsidR="00F84823">
              <w:rPr>
                <w:rFonts w:eastAsia="Times New Roman" w:cs="Calibri"/>
                <w:color w:val="000000"/>
                <w:sz w:val="18"/>
                <w:szCs w:val="18"/>
                <w:lang w:val="en-US" w:bidi="hi-IN"/>
              </w:rPr>
              <w:t>(</w:t>
            </w:r>
            <w:r w:rsidRPr="006606F4">
              <w:rPr>
                <w:rFonts w:eastAsia="Times New Roman" w:cs="Calibri"/>
                <w:color w:val="000000"/>
                <w:sz w:val="18"/>
                <w:szCs w:val="18"/>
                <w:lang w:bidi="hi-IN"/>
              </w:rPr>
              <w:t>2019-2023թթ.</w:t>
            </w:r>
            <w:r w:rsidR="00F84823">
              <w:rPr>
                <w:rFonts w:eastAsia="Times New Roman" w:cs="Calibri"/>
                <w:color w:val="000000"/>
                <w:sz w:val="18"/>
                <w:szCs w:val="18"/>
                <w:lang w:val="en-US" w:bidi="hi-IN"/>
              </w:rPr>
              <w:t>)</w:t>
            </w:r>
          </w:p>
        </w:tc>
        <w:tc>
          <w:tcPr>
            <w:tcW w:w="2391" w:type="dxa"/>
            <w:tcBorders>
              <w:top w:val="single" w:sz="4" w:space="0" w:color="auto"/>
              <w:left w:val="nil"/>
              <w:bottom w:val="single" w:sz="4" w:space="0" w:color="auto"/>
              <w:right w:val="single" w:sz="4" w:space="0" w:color="auto"/>
            </w:tcBorders>
            <w:shd w:val="clear" w:color="auto" w:fill="auto"/>
            <w:vAlign w:val="center"/>
            <w:hideMark/>
          </w:tcPr>
          <w:p w14:paraId="7F3BC277" w14:textId="77777777" w:rsidR="006606F4" w:rsidRPr="006606F4" w:rsidRDefault="006606F4" w:rsidP="006606F4">
            <w:pPr>
              <w:spacing w:after="0" w:line="240" w:lineRule="auto"/>
              <w:ind w:firstLine="0"/>
              <w:jc w:val="left"/>
              <w:rPr>
                <w:rFonts w:eastAsia="Times New Roman" w:cs="Calibri"/>
                <w:color w:val="000000"/>
                <w:sz w:val="18"/>
                <w:szCs w:val="18"/>
                <w:lang w:val="en-US"/>
              </w:rPr>
            </w:pPr>
            <w:r w:rsidRPr="006606F4">
              <w:rPr>
                <w:rFonts w:eastAsia="Times New Roman" w:cs="Calibri"/>
                <w:color w:val="000000"/>
                <w:sz w:val="18"/>
                <w:szCs w:val="18"/>
                <w:lang w:bidi="hi-IN"/>
              </w:rPr>
              <w:t>Համապատասխանության հաշվեքննություն</w:t>
            </w:r>
          </w:p>
        </w:tc>
        <w:tc>
          <w:tcPr>
            <w:tcW w:w="2369" w:type="dxa"/>
            <w:tcBorders>
              <w:top w:val="single" w:sz="4" w:space="0" w:color="auto"/>
              <w:left w:val="nil"/>
              <w:bottom w:val="single" w:sz="4" w:space="0" w:color="auto"/>
              <w:right w:val="single" w:sz="4" w:space="0" w:color="auto"/>
            </w:tcBorders>
            <w:shd w:val="clear" w:color="auto" w:fill="auto"/>
            <w:vAlign w:val="center"/>
            <w:hideMark/>
          </w:tcPr>
          <w:p w14:paraId="32A049BD" w14:textId="77777777" w:rsidR="006606F4" w:rsidRPr="006606F4" w:rsidRDefault="006606F4" w:rsidP="006606F4">
            <w:pPr>
              <w:spacing w:after="0" w:line="240" w:lineRule="auto"/>
              <w:ind w:firstLine="0"/>
              <w:jc w:val="left"/>
              <w:rPr>
                <w:rFonts w:eastAsia="Times New Roman" w:cs="Calibri"/>
                <w:color w:val="000000"/>
                <w:sz w:val="18"/>
                <w:szCs w:val="18"/>
                <w:lang w:val="en-US"/>
              </w:rPr>
            </w:pPr>
            <w:r w:rsidRPr="006606F4">
              <w:rPr>
                <w:rFonts w:eastAsia="Times New Roman" w:cs="Calibri"/>
                <w:color w:val="000000"/>
                <w:sz w:val="18"/>
                <w:szCs w:val="18"/>
                <w:lang w:bidi="hi-IN"/>
              </w:rPr>
              <w:t>Ֆինանսական և համապատասխանության հաշվեքննության վարչություն</w:t>
            </w:r>
          </w:p>
        </w:tc>
        <w:tc>
          <w:tcPr>
            <w:tcW w:w="1066" w:type="dxa"/>
            <w:tcBorders>
              <w:top w:val="single" w:sz="4" w:space="0" w:color="auto"/>
              <w:left w:val="nil"/>
              <w:bottom w:val="single" w:sz="4" w:space="0" w:color="auto"/>
              <w:right w:val="single" w:sz="4" w:space="0" w:color="auto"/>
            </w:tcBorders>
            <w:shd w:val="clear" w:color="auto" w:fill="auto"/>
            <w:vAlign w:val="center"/>
            <w:hideMark/>
          </w:tcPr>
          <w:p w14:paraId="4A39B0E6" w14:textId="77777777" w:rsidR="006606F4" w:rsidRPr="006606F4" w:rsidRDefault="006606F4" w:rsidP="006606F4">
            <w:pPr>
              <w:spacing w:after="0" w:line="240" w:lineRule="auto"/>
              <w:ind w:firstLine="0"/>
              <w:jc w:val="left"/>
              <w:rPr>
                <w:rFonts w:eastAsia="Times New Roman" w:cs="Calibri"/>
                <w:color w:val="000000"/>
                <w:sz w:val="18"/>
                <w:szCs w:val="18"/>
                <w:lang w:val="en-US"/>
              </w:rPr>
            </w:pPr>
            <w:r w:rsidRPr="006606F4">
              <w:rPr>
                <w:rFonts w:eastAsia="Times New Roman" w:cs="Calibri"/>
                <w:color w:val="000000"/>
                <w:sz w:val="18"/>
                <w:szCs w:val="18"/>
                <w:lang w:bidi="hi-IN"/>
              </w:rPr>
              <w:t>2025-206թթ.</w:t>
            </w:r>
          </w:p>
        </w:tc>
      </w:tr>
      <w:tr w:rsidR="006606F4" w:rsidRPr="006606F4" w14:paraId="3CB0378B" w14:textId="77777777" w:rsidTr="00D875E0">
        <w:trPr>
          <w:trHeight w:val="810"/>
        </w:trPr>
        <w:tc>
          <w:tcPr>
            <w:tcW w:w="403" w:type="dxa"/>
            <w:tcBorders>
              <w:top w:val="nil"/>
              <w:left w:val="single" w:sz="4" w:space="0" w:color="auto"/>
              <w:bottom w:val="single" w:sz="4" w:space="0" w:color="auto"/>
              <w:right w:val="single" w:sz="4" w:space="0" w:color="auto"/>
            </w:tcBorders>
            <w:shd w:val="clear" w:color="auto" w:fill="auto"/>
            <w:vAlign w:val="center"/>
            <w:hideMark/>
          </w:tcPr>
          <w:p w14:paraId="31791B40" w14:textId="6CF68C10" w:rsidR="006606F4" w:rsidRPr="006606F4" w:rsidRDefault="00BC32B6" w:rsidP="006606F4">
            <w:pPr>
              <w:spacing w:after="0" w:line="240" w:lineRule="auto"/>
              <w:ind w:firstLine="0"/>
              <w:jc w:val="center"/>
              <w:rPr>
                <w:rFonts w:eastAsia="Times New Roman" w:cs="Calibri"/>
                <w:color w:val="000000"/>
                <w:sz w:val="18"/>
                <w:szCs w:val="18"/>
                <w:lang w:val="en-GB"/>
              </w:rPr>
            </w:pPr>
            <w:r>
              <w:rPr>
                <w:rFonts w:eastAsia="Times New Roman" w:cs="Calibri"/>
                <w:color w:val="000000"/>
                <w:sz w:val="18"/>
                <w:szCs w:val="18"/>
                <w:lang w:val="en-GB" w:bidi="hi-IN"/>
              </w:rPr>
              <w:t>7.2</w:t>
            </w:r>
          </w:p>
        </w:tc>
        <w:tc>
          <w:tcPr>
            <w:tcW w:w="2162" w:type="dxa"/>
            <w:tcBorders>
              <w:top w:val="nil"/>
              <w:left w:val="nil"/>
              <w:bottom w:val="single" w:sz="4" w:space="0" w:color="auto"/>
              <w:right w:val="single" w:sz="4" w:space="0" w:color="auto"/>
            </w:tcBorders>
            <w:shd w:val="clear" w:color="auto" w:fill="auto"/>
            <w:vAlign w:val="center"/>
            <w:hideMark/>
          </w:tcPr>
          <w:p w14:paraId="0E17317B" w14:textId="77777777" w:rsidR="006606F4" w:rsidRPr="006606F4" w:rsidRDefault="006606F4" w:rsidP="006606F4">
            <w:pPr>
              <w:spacing w:after="0" w:line="240" w:lineRule="auto"/>
              <w:ind w:firstLine="0"/>
              <w:jc w:val="left"/>
              <w:rPr>
                <w:rFonts w:eastAsia="Times New Roman" w:cs="Calibri"/>
                <w:color w:val="000000"/>
                <w:sz w:val="18"/>
                <w:szCs w:val="18"/>
                <w:lang w:val="en-US"/>
              </w:rPr>
            </w:pPr>
            <w:r w:rsidRPr="006606F4">
              <w:rPr>
                <w:rFonts w:ascii="Calibri" w:eastAsia="Times New Roman" w:hAnsi="Calibri" w:cs="Calibri"/>
                <w:color w:val="000000"/>
                <w:sz w:val="18"/>
                <w:szCs w:val="18"/>
                <w:lang w:bidi="hi-IN"/>
              </w:rPr>
              <w:t> </w:t>
            </w:r>
            <w:r w:rsidRPr="006606F4">
              <w:rPr>
                <w:rFonts w:eastAsia="Times New Roman" w:cs="GHEA Grapalat"/>
                <w:color w:val="000000"/>
                <w:sz w:val="18"/>
                <w:szCs w:val="18"/>
                <w:lang w:bidi="hi-IN"/>
              </w:rPr>
              <w:t>ՀՀ</w:t>
            </w:r>
            <w:r w:rsidRPr="006606F4">
              <w:rPr>
                <w:rFonts w:eastAsia="Times New Roman" w:cs="Calibri"/>
                <w:color w:val="000000"/>
                <w:sz w:val="18"/>
                <w:szCs w:val="18"/>
                <w:lang w:bidi="hi-IN"/>
              </w:rPr>
              <w:t xml:space="preserve"> </w:t>
            </w:r>
            <w:r w:rsidRPr="006606F4">
              <w:rPr>
                <w:rFonts w:eastAsia="Times New Roman" w:cs="GHEA Grapalat"/>
                <w:color w:val="000000"/>
                <w:sz w:val="18"/>
                <w:szCs w:val="18"/>
                <w:lang w:bidi="hi-IN"/>
              </w:rPr>
              <w:t>առողջապահության</w:t>
            </w:r>
            <w:r w:rsidRPr="006606F4">
              <w:rPr>
                <w:rFonts w:eastAsia="Times New Roman" w:cs="Calibri"/>
                <w:color w:val="000000"/>
                <w:sz w:val="18"/>
                <w:szCs w:val="18"/>
                <w:lang w:bidi="hi-IN"/>
              </w:rPr>
              <w:t xml:space="preserve"> </w:t>
            </w:r>
            <w:r w:rsidRPr="006606F4">
              <w:rPr>
                <w:rFonts w:eastAsia="Times New Roman" w:cs="GHEA Grapalat"/>
                <w:color w:val="000000"/>
                <w:sz w:val="18"/>
                <w:szCs w:val="18"/>
                <w:lang w:bidi="hi-IN"/>
              </w:rPr>
              <w:t>նախարարություն</w:t>
            </w:r>
          </w:p>
        </w:tc>
        <w:tc>
          <w:tcPr>
            <w:tcW w:w="2334" w:type="dxa"/>
            <w:tcBorders>
              <w:top w:val="nil"/>
              <w:left w:val="nil"/>
              <w:bottom w:val="single" w:sz="4" w:space="0" w:color="auto"/>
              <w:right w:val="single" w:sz="4" w:space="0" w:color="auto"/>
            </w:tcBorders>
            <w:shd w:val="clear" w:color="auto" w:fill="auto"/>
            <w:vAlign w:val="center"/>
            <w:hideMark/>
          </w:tcPr>
          <w:p w14:paraId="2AD1FD3F" w14:textId="77777777" w:rsidR="006606F4" w:rsidRPr="006606F4" w:rsidRDefault="006606F4" w:rsidP="006606F4">
            <w:pPr>
              <w:spacing w:after="0" w:line="240" w:lineRule="auto"/>
              <w:ind w:firstLine="0"/>
              <w:jc w:val="left"/>
              <w:rPr>
                <w:rFonts w:eastAsia="Times New Roman" w:cs="Calibri"/>
                <w:color w:val="000000"/>
                <w:sz w:val="18"/>
                <w:szCs w:val="18"/>
                <w:lang w:val="en-US"/>
              </w:rPr>
            </w:pPr>
            <w:r w:rsidRPr="006606F4">
              <w:rPr>
                <w:rFonts w:eastAsia="Times New Roman" w:cs="Calibri"/>
                <w:color w:val="000000"/>
                <w:sz w:val="18"/>
                <w:szCs w:val="18"/>
                <w:lang w:bidi="hi-IN"/>
              </w:rPr>
              <w:t>Դեղերի արտադրության և դեղերի մեծածախ իրացման լիցենզավորման գործընթաց</w:t>
            </w:r>
          </w:p>
        </w:tc>
        <w:tc>
          <w:tcPr>
            <w:tcW w:w="2391" w:type="dxa"/>
            <w:tcBorders>
              <w:top w:val="nil"/>
              <w:left w:val="nil"/>
              <w:bottom w:val="single" w:sz="4" w:space="0" w:color="auto"/>
              <w:right w:val="single" w:sz="4" w:space="0" w:color="auto"/>
            </w:tcBorders>
            <w:shd w:val="clear" w:color="auto" w:fill="auto"/>
            <w:vAlign w:val="center"/>
            <w:hideMark/>
          </w:tcPr>
          <w:p w14:paraId="54ED3141" w14:textId="77777777" w:rsidR="006606F4" w:rsidRPr="006606F4" w:rsidRDefault="006606F4" w:rsidP="006606F4">
            <w:pPr>
              <w:spacing w:after="0" w:line="240" w:lineRule="auto"/>
              <w:ind w:firstLine="0"/>
              <w:jc w:val="left"/>
              <w:rPr>
                <w:rFonts w:eastAsia="Times New Roman" w:cs="Calibri"/>
                <w:color w:val="000000"/>
                <w:sz w:val="18"/>
                <w:szCs w:val="18"/>
                <w:lang w:val="en-US"/>
              </w:rPr>
            </w:pPr>
            <w:r w:rsidRPr="006606F4">
              <w:rPr>
                <w:rFonts w:eastAsia="Times New Roman" w:cs="Calibri"/>
                <w:color w:val="000000"/>
                <w:sz w:val="18"/>
                <w:szCs w:val="18"/>
                <w:lang w:bidi="hi-IN"/>
              </w:rPr>
              <w:t>Համապատասխանության հաշվեքննություն</w:t>
            </w:r>
          </w:p>
        </w:tc>
        <w:tc>
          <w:tcPr>
            <w:tcW w:w="2369" w:type="dxa"/>
            <w:tcBorders>
              <w:top w:val="nil"/>
              <w:left w:val="nil"/>
              <w:bottom w:val="single" w:sz="4" w:space="0" w:color="auto"/>
              <w:right w:val="single" w:sz="4" w:space="0" w:color="auto"/>
            </w:tcBorders>
            <w:shd w:val="clear" w:color="auto" w:fill="auto"/>
            <w:vAlign w:val="center"/>
            <w:hideMark/>
          </w:tcPr>
          <w:p w14:paraId="2A875C83" w14:textId="77777777" w:rsidR="006606F4" w:rsidRPr="006606F4" w:rsidRDefault="006606F4" w:rsidP="006606F4">
            <w:pPr>
              <w:spacing w:after="0" w:line="240" w:lineRule="auto"/>
              <w:ind w:firstLine="0"/>
              <w:jc w:val="left"/>
              <w:rPr>
                <w:rFonts w:eastAsia="Times New Roman" w:cs="Calibri"/>
                <w:color w:val="000000"/>
                <w:sz w:val="18"/>
                <w:szCs w:val="18"/>
                <w:lang w:val="en-US"/>
              </w:rPr>
            </w:pPr>
            <w:r w:rsidRPr="006606F4">
              <w:rPr>
                <w:rFonts w:eastAsia="Times New Roman" w:cs="Calibri"/>
                <w:color w:val="000000"/>
                <w:sz w:val="18"/>
                <w:szCs w:val="18"/>
                <w:lang w:bidi="hi-IN"/>
              </w:rPr>
              <w:t>Ֆինանսական և համապատասխանության հաշվեքննության վարչություն</w:t>
            </w:r>
          </w:p>
        </w:tc>
        <w:tc>
          <w:tcPr>
            <w:tcW w:w="1066" w:type="dxa"/>
            <w:tcBorders>
              <w:top w:val="nil"/>
              <w:left w:val="nil"/>
              <w:bottom w:val="single" w:sz="4" w:space="0" w:color="auto"/>
              <w:right w:val="single" w:sz="4" w:space="0" w:color="auto"/>
            </w:tcBorders>
            <w:shd w:val="clear" w:color="auto" w:fill="auto"/>
            <w:vAlign w:val="center"/>
            <w:hideMark/>
          </w:tcPr>
          <w:p w14:paraId="25F4D586" w14:textId="77777777" w:rsidR="006606F4" w:rsidRPr="006606F4" w:rsidRDefault="006606F4" w:rsidP="006606F4">
            <w:pPr>
              <w:spacing w:after="0" w:line="240" w:lineRule="auto"/>
              <w:ind w:firstLine="0"/>
              <w:jc w:val="left"/>
              <w:rPr>
                <w:rFonts w:eastAsia="Times New Roman" w:cs="Calibri"/>
                <w:color w:val="000000"/>
                <w:sz w:val="18"/>
                <w:szCs w:val="18"/>
                <w:lang w:val="en-US"/>
              </w:rPr>
            </w:pPr>
            <w:r w:rsidRPr="006606F4">
              <w:rPr>
                <w:rFonts w:eastAsia="Times New Roman" w:cs="Calibri"/>
                <w:color w:val="000000"/>
                <w:sz w:val="18"/>
                <w:szCs w:val="18"/>
                <w:lang w:bidi="hi-IN"/>
              </w:rPr>
              <w:t>2025-2026թթ.</w:t>
            </w:r>
          </w:p>
        </w:tc>
      </w:tr>
    </w:tbl>
    <w:p w14:paraId="53450195" w14:textId="423036A7" w:rsidR="00F84823" w:rsidRPr="00F84823" w:rsidRDefault="00F84823" w:rsidP="00F84823">
      <w:pPr>
        <w:pStyle w:val="ListParagraph"/>
        <w:numPr>
          <w:ilvl w:val="0"/>
          <w:numId w:val="0"/>
        </w:numPr>
        <w:tabs>
          <w:tab w:val="left" w:pos="851"/>
        </w:tabs>
        <w:spacing w:after="0"/>
        <w:ind w:left="1440"/>
        <w:jc w:val="right"/>
        <w:rPr>
          <w:rFonts w:cs="Arial"/>
          <w:lang w:val="en-US"/>
        </w:rPr>
      </w:pPr>
      <w:r>
        <w:rPr>
          <w:rFonts w:cs="Arial"/>
          <w:lang w:val="en-US"/>
        </w:rPr>
        <w:t>»:</w:t>
      </w:r>
    </w:p>
    <w:p w14:paraId="4188D80C" w14:textId="4D9648C8" w:rsidR="00BC5B01" w:rsidRDefault="00D875E0" w:rsidP="006606F4">
      <w:pPr>
        <w:pStyle w:val="ListParagraph"/>
        <w:numPr>
          <w:ilvl w:val="0"/>
          <w:numId w:val="23"/>
        </w:numPr>
        <w:tabs>
          <w:tab w:val="left" w:pos="851"/>
        </w:tabs>
        <w:spacing w:after="0"/>
        <w:rPr>
          <w:rFonts w:cs="Arial"/>
          <w:lang w:val="hy-AM"/>
        </w:rPr>
      </w:pPr>
      <w:r w:rsidRPr="00F84823">
        <w:rPr>
          <w:rFonts w:eastAsia="Times New Roman" w:cs="Times New Roman"/>
          <w:color w:val="000000" w:themeColor="text1"/>
          <w:lang w:val="hy-AM"/>
        </w:rPr>
        <w:lastRenderedPageBreak/>
        <w:t xml:space="preserve">«Գործունեության ծրագրում ներառված </w:t>
      </w:r>
      <w:r w:rsidRPr="00F84823">
        <w:rPr>
          <w:lang w:val="hy-AM"/>
        </w:rPr>
        <w:t xml:space="preserve">հաշվեքննության թեմաների և միջոցառումների հիմնավորումները» մասի 3-րդ բաժնից հետո </w:t>
      </w:r>
      <w:r w:rsidRPr="00F84823">
        <w:rPr>
          <w:rFonts w:cs="Sylfaen"/>
          <w:lang w:val="hy-AM"/>
        </w:rPr>
        <w:t>լրացնել</w:t>
      </w:r>
      <w:r w:rsidR="004358B0">
        <w:rPr>
          <w:rFonts w:cs="Sylfaen"/>
          <w:lang w:val="en-US"/>
        </w:rPr>
        <w:t xml:space="preserve"> </w:t>
      </w:r>
      <w:r w:rsidR="004358B0" w:rsidRPr="006606F4">
        <w:rPr>
          <w:rFonts w:cs="Sylfaen"/>
          <w:lang w:val="hy-AM"/>
        </w:rPr>
        <w:t xml:space="preserve">նոր </w:t>
      </w:r>
      <w:r w:rsidR="004358B0" w:rsidRPr="00BC32B6">
        <w:rPr>
          <w:rFonts w:cs="Sylfaen"/>
          <w:lang w:val="hy-AM"/>
        </w:rPr>
        <w:t>7.1</w:t>
      </w:r>
      <w:r w:rsidR="004358B0" w:rsidRPr="006606F4">
        <w:rPr>
          <w:rFonts w:cs="Sylfaen"/>
          <w:lang w:val="hy-AM"/>
        </w:rPr>
        <w:t>-</w:t>
      </w:r>
      <w:r w:rsidR="004358B0" w:rsidRPr="00F84823">
        <w:rPr>
          <w:rFonts w:cs="Sylfaen"/>
          <w:lang w:val="hy-AM"/>
        </w:rPr>
        <w:t>ին</w:t>
      </w:r>
      <w:r w:rsidR="004358B0" w:rsidRPr="006606F4">
        <w:rPr>
          <w:rFonts w:cs="Sylfaen"/>
          <w:lang w:val="hy-AM"/>
        </w:rPr>
        <w:t xml:space="preserve"> և </w:t>
      </w:r>
      <w:r w:rsidR="004358B0" w:rsidRPr="00BC32B6">
        <w:rPr>
          <w:rFonts w:cs="Sylfaen"/>
          <w:lang w:val="hy-AM"/>
        </w:rPr>
        <w:t>7.2</w:t>
      </w:r>
      <w:r w:rsidR="004358B0" w:rsidRPr="006606F4">
        <w:rPr>
          <w:rFonts w:cs="Sylfaen"/>
          <w:lang w:val="hy-AM"/>
        </w:rPr>
        <w:t xml:space="preserve">-րդ կետեր՝ </w:t>
      </w:r>
      <w:r w:rsidRPr="00F84823">
        <w:rPr>
          <w:rFonts w:cs="Sylfaen"/>
          <w:lang w:val="hy-AM"/>
        </w:rPr>
        <w:t xml:space="preserve"> </w:t>
      </w:r>
      <w:r w:rsidRPr="00F84823">
        <w:rPr>
          <w:rFonts w:cs="Arial"/>
          <w:lang w:val="hy-AM"/>
        </w:rPr>
        <w:t>հետևյալ բովանդակությամբ՝</w:t>
      </w:r>
    </w:p>
    <w:p w14:paraId="0E2A896D" w14:textId="20FE55F9" w:rsidR="00F50CE5" w:rsidRPr="00F50CE5" w:rsidRDefault="00F50CE5" w:rsidP="00F50CE5">
      <w:pPr>
        <w:tabs>
          <w:tab w:val="left" w:pos="851"/>
        </w:tabs>
        <w:spacing w:after="0"/>
        <w:rPr>
          <w:rFonts w:cs="Arial"/>
          <w:lang w:val="en-US"/>
        </w:rPr>
      </w:pPr>
      <w:r>
        <w:rPr>
          <w:rFonts w:cs="Arial"/>
          <w:lang w:val="en-US"/>
        </w:rPr>
        <w:t>«</w:t>
      </w:r>
    </w:p>
    <w:p w14:paraId="064ED050" w14:textId="661E9921" w:rsidR="00F84823" w:rsidRPr="00F84823" w:rsidRDefault="00F84823" w:rsidP="00F84823">
      <w:pPr>
        <w:pStyle w:val="ListParagraph"/>
        <w:numPr>
          <w:ilvl w:val="1"/>
          <w:numId w:val="24"/>
        </w:numPr>
        <w:tabs>
          <w:tab w:val="left" w:pos="1276"/>
        </w:tabs>
        <w:spacing w:after="80" w:line="276" w:lineRule="auto"/>
        <w:rPr>
          <w:rFonts w:cs="Sylfaen"/>
          <w:b/>
          <w:sz w:val="26"/>
          <w:szCs w:val="26"/>
          <w:lang w:val="hy-AM"/>
        </w:rPr>
      </w:pPr>
      <w:r w:rsidRPr="00F84823">
        <w:rPr>
          <w:rFonts w:cs="Sylfaen"/>
          <w:b/>
          <w:sz w:val="26"/>
          <w:szCs w:val="26"/>
          <w:lang w:val="hy-AM"/>
        </w:rPr>
        <w:t>. Պետական ֆինանսների կառավարման համակարգի բարեփոխումներ (2019-2023թթ.)</w:t>
      </w:r>
      <w:r>
        <w:rPr>
          <w:rStyle w:val="FootnoteReference"/>
          <w:rFonts w:cs="Sylfaen"/>
          <w:b/>
          <w:sz w:val="26"/>
          <w:szCs w:val="26"/>
          <w:lang w:val="hy-AM"/>
        </w:rPr>
        <w:footnoteReference w:id="1"/>
      </w:r>
    </w:p>
    <w:p w14:paraId="189A46E9" w14:textId="77777777" w:rsidR="00F84823" w:rsidRPr="00052A08" w:rsidRDefault="00F84823" w:rsidP="00F84823">
      <w:pPr>
        <w:ind w:left="3119" w:hanging="2268"/>
        <w:rPr>
          <w:b/>
          <w:bCs/>
          <w:i/>
          <w:iCs/>
        </w:rPr>
      </w:pPr>
      <w:r w:rsidRPr="00052A08">
        <w:rPr>
          <w:b/>
          <w:bCs/>
          <w:i/>
          <w:iCs/>
        </w:rPr>
        <w:t>Ծրագրի 7.1-րդ կետ՝ իրավական ակտերի և քաղաքացիաիրավական պայմանագրերի պահանջներին համապատասխանության գնահատում</w:t>
      </w:r>
    </w:p>
    <w:p w14:paraId="719F14CF" w14:textId="77777777" w:rsidR="00F84823" w:rsidRPr="004B20BB" w:rsidRDefault="00F84823" w:rsidP="00F84823">
      <w:pPr>
        <w:pStyle w:val="ListParagraph"/>
        <w:numPr>
          <w:ilvl w:val="0"/>
          <w:numId w:val="0"/>
        </w:numPr>
        <w:tabs>
          <w:tab w:val="left" w:pos="993"/>
        </w:tabs>
        <w:spacing w:after="80" w:line="276" w:lineRule="auto"/>
        <w:ind w:left="1287"/>
        <w:rPr>
          <w:rFonts w:cs="Sylfaen"/>
          <w:lang w:val="hy-AM"/>
        </w:rPr>
      </w:pPr>
    </w:p>
    <w:p w14:paraId="7EEE43EE" w14:textId="77777777" w:rsidR="00F84823" w:rsidRDefault="00F84823" w:rsidP="00F84823">
      <w:pPr>
        <w:pStyle w:val="Default"/>
        <w:tabs>
          <w:tab w:val="left" w:pos="851"/>
        </w:tabs>
        <w:spacing w:after="80" w:line="276" w:lineRule="auto"/>
        <w:jc w:val="both"/>
        <w:rPr>
          <w:rFonts w:ascii="GHEA Grapalat" w:hAnsi="GHEA Grapalat" w:cs="Times New Roman"/>
          <w:sz w:val="24"/>
          <w:szCs w:val="24"/>
          <w:lang w:val="hy-AM"/>
        </w:rPr>
      </w:pPr>
      <w:r w:rsidRPr="00F43486">
        <w:rPr>
          <w:rFonts w:ascii="GHEA Grapalat" w:hAnsi="GHEA Grapalat" w:cs="Times New Roman"/>
          <w:sz w:val="24"/>
          <w:szCs w:val="24"/>
          <w:lang w:val="hy-AM"/>
        </w:rPr>
        <w:t>«Պետական ֆինանսների կառավարման համակարգի բարեփոխումների 2019-2023թթ. Ռազմավարությունը» փաստաթուղթը հիմնված է Կառավարության 2021-2026 թվականների ծրագրի վրա և  2023 թվակ</w:t>
      </w:r>
      <w:r>
        <w:rPr>
          <w:rFonts w:ascii="GHEA Grapalat" w:hAnsi="GHEA Grapalat" w:cs="Times New Roman"/>
          <w:sz w:val="24"/>
          <w:szCs w:val="24"/>
          <w:lang w:val="hy-AM"/>
        </w:rPr>
        <w:t>անի ավարտված լինելու հանգամանքը</w:t>
      </w:r>
      <w:r w:rsidRPr="00F43486">
        <w:rPr>
          <w:rFonts w:ascii="GHEA Grapalat" w:hAnsi="GHEA Grapalat" w:cs="Times New Roman"/>
          <w:sz w:val="24"/>
          <w:szCs w:val="24"/>
          <w:lang w:val="hy-AM"/>
        </w:rPr>
        <w:t xml:space="preserve"> թույլ </w:t>
      </w:r>
      <w:r w:rsidRPr="004B20BB">
        <w:rPr>
          <w:rFonts w:ascii="GHEA Grapalat" w:hAnsi="GHEA Grapalat" w:cs="Times New Roman"/>
          <w:sz w:val="24"/>
          <w:szCs w:val="24"/>
          <w:lang w:val="hy-AM"/>
        </w:rPr>
        <w:t>է</w:t>
      </w:r>
      <w:r w:rsidRPr="00F43486">
        <w:rPr>
          <w:rFonts w:ascii="GHEA Grapalat" w:hAnsi="GHEA Grapalat" w:cs="Times New Roman"/>
          <w:sz w:val="24"/>
          <w:szCs w:val="24"/>
          <w:lang w:val="hy-AM"/>
        </w:rPr>
        <w:t xml:space="preserve"> տալիս արձանագրել, որ Ռազմավարությունով նախատեսված բոլոր արդյունքներն արձանագրված են, ուստի Հաշվեքննության միջնաժամկետ առաջնահերթությունների ուղղության՝ Հաշվեքննիչ պալա</w:t>
      </w:r>
      <w:r>
        <w:rPr>
          <w:rFonts w:ascii="GHEA Grapalat" w:hAnsi="GHEA Grapalat" w:cs="Times New Roman"/>
          <w:sz w:val="24"/>
          <w:szCs w:val="24"/>
          <w:lang w:val="hy-AM"/>
        </w:rPr>
        <w:t>տի ծրագրի առանձին թեմա սահմանելը</w:t>
      </w:r>
      <w:r w:rsidRPr="00F43486">
        <w:rPr>
          <w:rFonts w:ascii="GHEA Grapalat" w:hAnsi="GHEA Grapalat" w:cs="Times New Roman"/>
          <w:sz w:val="24"/>
          <w:szCs w:val="24"/>
          <w:lang w:val="hy-AM"/>
        </w:rPr>
        <w:t xml:space="preserve"> հնարավորություն կընձեռի ձևավորել ռազմավարական փաստաթղթով սահմանված միջոցառումների կատարման վերաբերյալ կարծիք, որն ինչպես մյուս դեպքերում, կարող է օգտագործվել՝ Կառավարության ծրագրում հայտարարված մտադրությունների լիարժեք իրագործման ուղղությամբ հետագա անելիքները ճշգրտելու նպատակով։</w:t>
      </w:r>
    </w:p>
    <w:p w14:paraId="15B0EFAF" w14:textId="77777777" w:rsidR="00F84823" w:rsidRPr="00752793" w:rsidRDefault="00F84823" w:rsidP="00F84823">
      <w:r w:rsidRPr="00752793">
        <w:t xml:space="preserve">Հաշվեքննությամբ նախատեսվում է գնահատել </w:t>
      </w:r>
      <w:r w:rsidRPr="00F43486">
        <w:rPr>
          <w:rFonts w:cs="Times New Roman"/>
        </w:rPr>
        <w:t xml:space="preserve">Պետական ֆինանսների կառավարման համակարգի բարեփոխումների </w:t>
      </w:r>
      <w:r>
        <w:rPr>
          <w:color w:val="000000"/>
          <w:shd w:val="clear" w:color="auto" w:fill="FFFFFF"/>
        </w:rPr>
        <w:t xml:space="preserve">գործընթացի </w:t>
      </w:r>
      <w:r w:rsidRPr="00752793">
        <w:t>համապատասխանությունը՝ իրավական ակտերով և քաղաքացիաիրավական պայմանագրերով սահմանված պահանջներին։</w:t>
      </w:r>
    </w:p>
    <w:p w14:paraId="3FE7C78B" w14:textId="77777777" w:rsidR="00F84823" w:rsidRDefault="00F84823" w:rsidP="00F84823">
      <w:pPr>
        <w:rPr>
          <w:lang w:bidi="hi-IN"/>
        </w:rPr>
      </w:pPr>
      <w:r w:rsidRPr="00752793">
        <w:rPr>
          <w:lang w:bidi="hi-IN"/>
        </w:rPr>
        <w:t>Թեման նախատեսված էր Հաշվեքննիչ պալատի 2025 թվականի գործունեության ծրագրում և տեղափոխվել է 2026 թվական։</w:t>
      </w:r>
    </w:p>
    <w:p w14:paraId="54447821" w14:textId="58292D06" w:rsidR="00F84823" w:rsidRPr="00052A08" w:rsidRDefault="00F84823" w:rsidP="00F84823">
      <w:pPr>
        <w:pStyle w:val="Heading3"/>
        <w:numPr>
          <w:ilvl w:val="0"/>
          <w:numId w:val="0"/>
        </w:numPr>
        <w:ind w:left="2160"/>
        <w:rPr>
          <w:lang w:val="hy-AM"/>
        </w:rPr>
      </w:pPr>
      <w:r w:rsidRPr="00F84823">
        <w:rPr>
          <w:lang w:val="hy-AM"/>
        </w:rPr>
        <w:t>7.2.</w:t>
      </w:r>
      <w:r w:rsidRPr="00052A08">
        <w:rPr>
          <w:lang w:val="hy-AM"/>
        </w:rPr>
        <w:t xml:space="preserve"> </w:t>
      </w:r>
      <w:r w:rsidRPr="00052A08">
        <w:rPr>
          <w:rFonts w:cs="Sylfaen"/>
          <w:lang w:val="hy-AM"/>
        </w:rPr>
        <w:t>Դեղերի արտադրության և դեղերի մեծածախ իրացման լիցենզավորման գործընթաց</w:t>
      </w:r>
      <w:r>
        <w:rPr>
          <w:rStyle w:val="FootnoteReference"/>
          <w:rFonts w:cs="Sylfaen"/>
          <w:lang w:val="hy-AM"/>
        </w:rPr>
        <w:footnoteReference w:id="2"/>
      </w:r>
    </w:p>
    <w:p w14:paraId="61C17535" w14:textId="77777777" w:rsidR="00F84823" w:rsidRPr="00052A08" w:rsidRDefault="00F84823" w:rsidP="00F84823">
      <w:pPr>
        <w:ind w:left="2694" w:hanging="2410"/>
        <w:rPr>
          <w:b/>
          <w:bCs/>
          <w:i/>
          <w:iCs/>
        </w:rPr>
      </w:pPr>
      <w:r w:rsidRPr="00052A08">
        <w:rPr>
          <w:b/>
          <w:bCs/>
          <w:i/>
          <w:iCs/>
        </w:rPr>
        <w:t>Ծրագրի 7.2-րդ կետ՝ իրավական ակտերի և քաղաքացիաիրավական պայմանագրերի պահանջներին համապատասխանության գնահատում</w:t>
      </w:r>
    </w:p>
    <w:p w14:paraId="55BA6FAF" w14:textId="77777777" w:rsidR="00F84823" w:rsidRPr="00052A08" w:rsidRDefault="00F84823" w:rsidP="00F84823">
      <w:pPr>
        <w:tabs>
          <w:tab w:val="left" w:pos="993"/>
        </w:tabs>
        <w:spacing w:after="80" w:line="276" w:lineRule="auto"/>
        <w:rPr>
          <w:rFonts w:cs="Sylfaen"/>
          <w:b/>
          <w:i/>
        </w:rPr>
      </w:pPr>
    </w:p>
    <w:p w14:paraId="6C5B68F5" w14:textId="77777777" w:rsidR="00F84823" w:rsidRPr="00C31BC5" w:rsidRDefault="00F84823" w:rsidP="00F84823">
      <w:pPr>
        <w:pStyle w:val="NormalWeb"/>
        <w:shd w:val="clear" w:color="auto" w:fill="FFFFFF"/>
        <w:spacing w:before="0" w:beforeAutospacing="0" w:after="225" w:afterAutospacing="0"/>
        <w:textAlignment w:val="baseline"/>
        <w:rPr>
          <w:rFonts w:ascii="GHEA Grapalat" w:hAnsi="GHEA Grapalat"/>
          <w:lang w:bidi="hi-IN"/>
        </w:rPr>
      </w:pPr>
      <w:r w:rsidRPr="009F6932">
        <w:rPr>
          <w:rFonts w:ascii="GHEA Grapalat" w:hAnsi="GHEA Grapalat"/>
          <w:lang w:bidi="hi-IN"/>
        </w:rPr>
        <w:lastRenderedPageBreak/>
        <w:t>Դեղագործությունը ՀՀ կառավարության  2021-2026 թվականների գործունեության միջոցառումների ծրագ</w:t>
      </w:r>
      <w:r w:rsidRPr="004B20BB">
        <w:rPr>
          <w:rFonts w:ascii="GHEA Grapalat" w:hAnsi="GHEA Grapalat"/>
          <w:lang w:bidi="hi-IN"/>
        </w:rPr>
        <w:t>րով սահմանվել է</w:t>
      </w:r>
      <w:r w:rsidRPr="009F6932">
        <w:rPr>
          <w:rFonts w:ascii="GHEA Grapalat" w:hAnsi="GHEA Grapalat"/>
          <w:lang w:bidi="hi-IN"/>
        </w:rPr>
        <w:t xml:space="preserve"> որպես արդյունաբերության զարգացման հինգ գերակա ոլորտներից մեկը</w:t>
      </w:r>
      <w:r w:rsidRPr="004B20BB">
        <w:rPr>
          <w:rFonts w:ascii="GHEA Grapalat" w:hAnsi="GHEA Grapalat"/>
          <w:lang w:bidi="hi-IN"/>
        </w:rPr>
        <w:t xml:space="preserve">:  </w:t>
      </w:r>
    </w:p>
    <w:p w14:paraId="09D67DC9" w14:textId="77777777" w:rsidR="00F84823" w:rsidRDefault="00F84823" w:rsidP="00F84823">
      <w:pPr>
        <w:tabs>
          <w:tab w:val="left" w:pos="426"/>
          <w:tab w:val="left" w:pos="993"/>
        </w:tabs>
        <w:spacing w:after="0" w:line="240" w:lineRule="auto"/>
        <w:rPr>
          <w:rFonts w:eastAsia="Times New Roman" w:cs="Times New Roman"/>
          <w:lang w:bidi="hi-IN"/>
        </w:rPr>
      </w:pPr>
      <w:r w:rsidRPr="009F6932">
        <w:rPr>
          <w:rFonts w:eastAsia="Times New Roman" w:cs="Times New Roman"/>
          <w:lang w:bidi="hi-IN"/>
        </w:rPr>
        <w:t>ՀՀ</w:t>
      </w:r>
      <w:r w:rsidRPr="004B20BB">
        <w:rPr>
          <w:rFonts w:eastAsia="Times New Roman" w:cs="Times New Roman"/>
          <w:lang w:bidi="hi-IN"/>
        </w:rPr>
        <w:t xml:space="preserve"> </w:t>
      </w:r>
      <w:r w:rsidRPr="009F6932">
        <w:rPr>
          <w:rFonts w:eastAsia="Times New Roman" w:cs="Times New Roman"/>
          <w:lang w:bidi="hi-IN"/>
        </w:rPr>
        <w:t>տնտեսության մեջ ներկայումս մեծ կարևորություն է տրվում դեղագործության ոլորտի զարգացմանը: Ոլորտն ունի ռազմավարական կարևոր նշանակություն, քանի որ այն ուղղակիորեն կապված է բնակչության առողջության պահպանման և պետական անվտանգության ապահովման հետ:</w:t>
      </w:r>
      <w:r w:rsidRPr="004B20BB">
        <w:rPr>
          <w:rFonts w:eastAsia="Times New Roman" w:cs="Times New Roman"/>
          <w:lang w:bidi="hi-IN"/>
        </w:rPr>
        <w:t xml:space="preserve"> Ոլորտի հիմնախնդիր է շարունակում մնալ պետական գրանցամատյանում չգրանցված դեղերի շրջանառությունը</w:t>
      </w:r>
      <w:r>
        <w:rPr>
          <w:rStyle w:val="FootnoteReference"/>
          <w:rFonts w:eastAsia="Times New Roman" w:cs="Times New Roman"/>
          <w:lang w:val="en-US" w:bidi="hi-IN"/>
        </w:rPr>
        <w:footnoteReference w:id="3"/>
      </w:r>
      <w:r w:rsidRPr="004B20BB">
        <w:rPr>
          <w:rFonts w:eastAsia="Times New Roman" w:cs="Times New Roman"/>
          <w:lang w:bidi="hi-IN"/>
        </w:rPr>
        <w:t>:</w:t>
      </w:r>
    </w:p>
    <w:p w14:paraId="04A44863" w14:textId="77777777" w:rsidR="00F84823" w:rsidRPr="00752793" w:rsidRDefault="00F84823" w:rsidP="00F84823">
      <w:r w:rsidRPr="00752793">
        <w:t xml:space="preserve">Հաշվեքննությամբ նախատեսվում է գնահատել </w:t>
      </w:r>
      <w:r>
        <w:rPr>
          <w:color w:val="000000"/>
          <w:shd w:val="clear" w:color="auto" w:fill="FFFFFF"/>
        </w:rPr>
        <w:t>դեղերի արտադրությունը և մեծածախ իրացումը լիցենզավորելու գործընթացի համապատասխանությունը</w:t>
      </w:r>
      <w:r w:rsidRPr="00752793">
        <w:t>՝ իրավական ակտերով և քաղաքացիաիրավական պայմանագրերով սահմանված պահանջներին։</w:t>
      </w:r>
    </w:p>
    <w:p w14:paraId="2D79B291" w14:textId="0230C020" w:rsidR="00F84823" w:rsidRPr="00F50CE5" w:rsidRDefault="00F84823" w:rsidP="00F84823">
      <w:pPr>
        <w:rPr>
          <w:lang w:val="en-US" w:bidi="hi-IN"/>
        </w:rPr>
      </w:pPr>
      <w:r w:rsidRPr="00752793">
        <w:rPr>
          <w:lang w:bidi="hi-IN"/>
        </w:rPr>
        <w:t>Թեման նախատեսված էր Հաշվեքննիչ պալատի 2025 թվականի գործունեության ծրագրում և տեղափոխվել է 2026 թվական։</w:t>
      </w:r>
      <w:r w:rsidR="00F50CE5">
        <w:rPr>
          <w:lang w:val="en-US" w:bidi="hi-IN"/>
        </w:rPr>
        <w:t>»:</w:t>
      </w:r>
    </w:p>
    <w:p w14:paraId="421A346A" w14:textId="48B7D076" w:rsidR="00BC5B01" w:rsidRPr="00F84823" w:rsidRDefault="00BC5B01" w:rsidP="00BC5B01">
      <w:pPr>
        <w:tabs>
          <w:tab w:val="left" w:pos="284"/>
          <w:tab w:val="left" w:pos="709"/>
        </w:tabs>
        <w:spacing w:after="0"/>
        <w:ind w:left="1287" w:hanging="360"/>
        <w:rPr>
          <w:rFonts w:eastAsia="Times New Roman" w:cs="Sylfaen"/>
          <w:lang w:bidi="he-IL"/>
        </w:rPr>
      </w:pPr>
    </w:p>
    <w:p w14:paraId="4E72DDF9" w14:textId="77777777" w:rsidR="005845B2" w:rsidRDefault="005845B2" w:rsidP="00BC5B01">
      <w:pPr>
        <w:tabs>
          <w:tab w:val="left" w:pos="284"/>
          <w:tab w:val="left" w:pos="709"/>
        </w:tabs>
        <w:spacing w:after="0"/>
        <w:ind w:left="1287" w:hanging="360"/>
        <w:rPr>
          <w:rFonts w:eastAsia="Times New Roman" w:cs="Sylfaen"/>
          <w:lang w:bidi="he-IL"/>
        </w:rPr>
      </w:pPr>
    </w:p>
    <w:p w14:paraId="03BB63A0" w14:textId="77777777" w:rsidR="00BC5B01" w:rsidRPr="00BC5B01" w:rsidRDefault="00BC5B01" w:rsidP="00BC5B01">
      <w:pPr>
        <w:tabs>
          <w:tab w:val="left" w:pos="284"/>
          <w:tab w:val="left" w:pos="709"/>
        </w:tabs>
        <w:spacing w:after="0"/>
        <w:ind w:left="1287" w:hanging="360"/>
        <w:rPr>
          <w:rFonts w:eastAsia="Times New Roman" w:cs="Sylfaen"/>
          <w:lang w:bidi="he-IL"/>
        </w:rPr>
      </w:pPr>
    </w:p>
    <w:p w14:paraId="02599722" w14:textId="77777777" w:rsidR="00BC5B01" w:rsidRPr="00250F73" w:rsidRDefault="00BC5B01" w:rsidP="00BC5B01">
      <w:pPr>
        <w:tabs>
          <w:tab w:val="left" w:pos="993"/>
        </w:tabs>
        <w:spacing w:after="0" w:line="259" w:lineRule="auto"/>
        <w:rPr>
          <w:rFonts w:eastAsia="Times New Roman" w:cs="Sylfaen"/>
          <w:sz w:val="16"/>
          <w:lang w:bidi="he-I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2"/>
        <w:gridCol w:w="1871"/>
        <w:gridCol w:w="5398"/>
      </w:tblGrid>
      <w:tr w:rsidR="00BC5B01" w:rsidRPr="00C13C68" w14:paraId="44A4DC57" w14:textId="77777777" w:rsidTr="00591B12">
        <w:trPr>
          <w:trHeight w:val="1051"/>
        </w:trPr>
        <w:tc>
          <w:tcPr>
            <w:tcW w:w="3379" w:type="dxa"/>
          </w:tcPr>
          <w:p w14:paraId="4207B7E9" w14:textId="77777777" w:rsidR="00BC5B01" w:rsidRPr="00C13C68" w:rsidRDefault="00BC5B01" w:rsidP="008D1F7C">
            <w:pPr>
              <w:tabs>
                <w:tab w:val="left" w:pos="1095"/>
                <w:tab w:val="center" w:pos="5245"/>
              </w:tabs>
              <w:jc w:val="center"/>
              <w:rPr>
                <w:rFonts w:ascii="GHEA Grapalat" w:eastAsia="Times New Roman" w:hAnsi="GHEA Grapalat"/>
                <w:b/>
                <w:sz w:val="24"/>
                <w:szCs w:val="24"/>
                <w:lang w:eastAsia="ru-RU"/>
              </w:rPr>
            </w:pPr>
            <w:r w:rsidRPr="00C13C68">
              <w:rPr>
                <w:rFonts w:ascii="GHEA Grapalat" w:hAnsi="GHEA Grapalat"/>
                <w:b/>
                <w:sz w:val="24"/>
                <w:szCs w:val="24"/>
              </w:rPr>
              <w:t xml:space="preserve">ՀԱՇՎԵՔՆՆԻՉ ՊԱԼԱՏԻ </w:t>
            </w:r>
            <w:hyperlink r:id="rId9" w:tooltip="Ctrl+Click to validate and learn more about this digital signature" w:history="1"/>
            <w:hyperlink r:id="rId10" w:tooltip="Ctrl+Click to validate and learn more about this digital signature" w:history="1"/>
            <w:hyperlink r:id="rId11" w:tooltip="Ctrl+Click to validate and learn more about this digital signature" w:history="1"/>
            <w:hyperlink r:id="rId12" w:tooltip="Ctrl+Click to validate and learn more about this digital signature" w:history="1"/>
            <w:r w:rsidRPr="00C13C68">
              <w:rPr>
                <w:rFonts w:ascii="GHEA Grapalat" w:hAnsi="GHEA Grapalat"/>
                <w:b/>
                <w:sz w:val="24"/>
                <w:szCs w:val="24"/>
              </w:rPr>
              <w:t>ՆԱԽԱԳԱՀ</w:t>
            </w:r>
          </w:p>
        </w:tc>
        <w:tc>
          <w:tcPr>
            <w:tcW w:w="1299" w:type="dxa"/>
          </w:tcPr>
          <w:p w14:paraId="3D274734" w14:textId="69B62F43" w:rsidR="00BC5B01" w:rsidRPr="00C13C68" w:rsidRDefault="00000000" w:rsidP="008D1F7C">
            <w:pPr>
              <w:tabs>
                <w:tab w:val="left" w:pos="720"/>
              </w:tabs>
              <w:spacing w:line="360" w:lineRule="auto"/>
              <w:ind w:firstLine="305"/>
              <w:contextualSpacing/>
              <w:rPr>
                <w:rFonts w:ascii="GHEA Grapalat" w:eastAsia="Times New Roman" w:hAnsi="GHEA Grapalat"/>
                <w:b/>
                <w:sz w:val="24"/>
                <w:szCs w:val="24"/>
                <w:lang w:eastAsia="ru-RU"/>
              </w:rPr>
            </w:pPr>
            <w:hyperlink r:id="rId13" w:tooltip="Ctrl+Click to validate and learn more about this digital signature" w:history="1">
              <w:r>
                <w:rPr>
                  <w:rFonts w:ascii="GHEA Grapalat" w:eastAsia="Times New Roman" w:hAnsi="GHEA Grapalat"/>
                  <w:b/>
                  <w:sz w:val="24"/>
                  <w:szCs w:val="24"/>
                  <w:lang w:eastAsia="ru-RU"/>
                </w:rPr>
                <w:pict w14:anchorId="3215E6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50.25pt">
                    <v:imagedata r:id="rId14" o:title=""/>
                  </v:shape>
                </w:pict>
              </w:r>
            </w:hyperlink>
            <w:hyperlink r:id="rId15" w:tooltip="Ctrl+Click to validate and learn more about this digital signature" w:history="1"/>
          </w:p>
        </w:tc>
        <w:tc>
          <w:tcPr>
            <w:tcW w:w="5461" w:type="dxa"/>
          </w:tcPr>
          <w:p w14:paraId="26E37367" w14:textId="77777777" w:rsidR="00BC5B01" w:rsidRPr="00C13C68" w:rsidRDefault="00BC5B01" w:rsidP="008D1F7C">
            <w:pPr>
              <w:tabs>
                <w:tab w:val="left" w:pos="720"/>
              </w:tabs>
              <w:spacing w:line="360" w:lineRule="auto"/>
              <w:contextualSpacing/>
              <w:rPr>
                <w:rFonts w:ascii="GHEA Grapalat" w:hAnsi="GHEA Grapalat"/>
                <w:b/>
                <w:sz w:val="24"/>
                <w:szCs w:val="24"/>
              </w:rPr>
            </w:pPr>
          </w:p>
          <w:p w14:paraId="7ECF0444" w14:textId="77777777" w:rsidR="00BC5B01" w:rsidRPr="00C13C68" w:rsidRDefault="00BC5B01" w:rsidP="008D1F7C">
            <w:pPr>
              <w:tabs>
                <w:tab w:val="left" w:pos="720"/>
              </w:tabs>
              <w:spacing w:line="360" w:lineRule="auto"/>
              <w:contextualSpacing/>
              <w:rPr>
                <w:rFonts w:ascii="GHEA Grapalat" w:hAnsi="GHEA Grapalat"/>
                <w:b/>
                <w:sz w:val="24"/>
                <w:szCs w:val="24"/>
              </w:rPr>
            </w:pPr>
          </w:p>
          <w:p w14:paraId="66E39A57" w14:textId="5CD93811" w:rsidR="00BC5B01" w:rsidRPr="00C13C68" w:rsidRDefault="00BC5B01" w:rsidP="00591B12">
            <w:pPr>
              <w:tabs>
                <w:tab w:val="left" w:pos="720"/>
              </w:tabs>
              <w:spacing w:line="360" w:lineRule="auto"/>
              <w:ind w:firstLine="0"/>
              <w:contextualSpacing/>
              <w:rPr>
                <w:rFonts w:ascii="GHEA Grapalat" w:eastAsia="Times New Roman" w:hAnsi="GHEA Grapalat"/>
                <w:b/>
                <w:sz w:val="24"/>
                <w:szCs w:val="24"/>
                <w:lang w:eastAsia="ru-RU"/>
              </w:rPr>
            </w:pPr>
            <w:r w:rsidRPr="00C13C68">
              <w:rPr>
                <w:rFonts w:ascii="GHEA Grapalat" w:hAnsi="GHEA Grapalat" w:cs="Sylfaen"/>
                <w:b/>
                <w:sz w:val="24"/>
                <w:szCs w:val="24"/>
              </w:rPr>
              <w:t>ԱՏՈՄ ՋԱՆՋՈՒՂԱԶՅԱՆ</w:t>
            </w:r>
          </w:p>
        </w:tc>
      </w:tr>
    </w:tbl>
    <w:p w14:paraId="42287777" w14:textId="77777777" w:rsidR="00BC5B01" w:rsidRDefault="00BC5B01">
      <w:pPr>
        <w:spacing w:after="160" w:line="259" w:lineRule="auto"/>
        <w:ind w:firstLine="0"/>
        <w:jc w:val="left"/>
        <w:rPr>
          <w:rStyle w:val="BookTitle"/>
        </w:rPr>
      </w:pPr>
    </w:p>
    <w:p w14:paraId="4C829A09" w14:textId="77777777" w:rsidR="00BC5B01" w:rsidRDefault="00BC5B01">
      <w:pPr>
        <w:spacing w:after="160" w:line="259" w:lineRule="auto"/>
        <w:ind w:firstLine="0"/>
        <w:jc w:val="left"/>
        <w:rPr>
          <w:rStyle w:val="BookTitle"/>
        </w:rPr>
      </w:pPr>
      <w:r>
        <w:rPr>
          <w:rStyle w:val="BookTitle"/>
        </w:rPr>
        <w:br w:type="page"/>
      </w:r>
    </w:p>
    <w:p w14:paraId="7637AAF8" w14:textId="669A6787" w:rsidR="00F02D7F" w:rsidRPr="00752793" w:rsidRDefault="00F02D7F" w:rsidP="00866885">
      <w:pPr>
        <w:keepNext/>
        <w:keepLines/>
        <w:spacing w:line="240" w:lineRule="auto"/>
        <w:ind w:left="6095" w:firstLine="0"/>
        <w:contextualSpacing/>
        <w:jc w:val="left"/>
        <w:rPr>
          <w:rStyle w:val="BookTitle"/>
        </w:rPr>
      </w:pPr>
      <w:r w:rsidRPr="00752793">
        <w:rPr>
          <w:rStyle w:val="BookTitle"/>
        </w:rPr>
        <w:lastRenderedPageBreak/>
        <w:t>Հավելված</w:t>
      </w:r>
    </w:p>
    <w:p w14:paraId="50A6E554" w14:textId="77777777" w:rsidR="00F02D7F" w:rsidRPr="00752793" w:rsidRDefault="00F02D7F" w:rsidP="00866885">
      <w:pPr>
        <w:keepNext/>
        <w:keepLines/>
        <w:spacing w:line="240" w:lineRule="auto"/>
        <w:ind w:left="6095" w:firstLine="0"/>
        <w:contextualSpacing/>
        <w:jc w:val="left"/>
        <w:rPr>
          <w:rStyle w:val="BookTitle"/>
        </w:rPr>
      </w:pPr>
      <w:r w:rsidRPr="00752793">
        <w:rPr>
          <w:rStyle w:val="BookTitle"/>
        </w:rPr>
        <w:t>Հաշվեքննիչ պալատի 2025 թվականի</w:t>
      </w:r>
    </w:p>
    <w:p w14:paraId="2DB89D76" w14:textId="0BA104A8" w:rsidR="00F02D7F" w:rsidRPr="00752793" w:rsidRDefault="00F02D7F" w:rsidP="00866885">
      <w:pPr>
        <w:keepNext/>
        <w:keepLines/>
        <w:spacing w:line="240" w:lineRule="auto"/>
        <w:ind w:left="6095" w:firstLine="0"/>
        <w:contextualSpacing/>
        <w:jc w:val="left"/>
        <w:rPr>
          <w:rStyle w:val="BookTitle"/>
        </w:rPr>
      </w:pPr>
      <w:r w:rsidRPr="00752793">
        <w:rPr>
          <w:rStyle w:val="BookTitle"/>
        </w:rPr>
        <w:t xml:space="preserve">նոյեմբերի 27-ի թիվ </w:t>
      </w:r>
      <w:r w:rsidR="009A1671">
        <w:rPr>
          <w:rStyle w:val="BookTitle"/>
          <w:lang w:val="en-GB"/>
        </w:rPr>
        <w:t>81</w:t>
      </w:r>
      <w:r w:rsidRPr="00752793">
        <w:rPr>
          <w:rStyle w:val="BookTitle"/>
        </w:rPr>
        <w:t>-Լ որոշման</w:t>
      </w:r>
    </w:p>
    <w:p w14:paraId="542753C8" w14:textId="77777777" w:rsidR="00F02D7F" w:rsidRPr="00752793" w:rsidRDefault="00F02D7F" w:rsidP="00856E20"/>
    <w:p w14:paraId="2CBD6FFE" w14:textId="6387ECE6" w:rsidR="009E0464" w:rsidRPr="00752793" w:rsidRDefault="009E0464" w:rsidP="00856E20">
      <w:pPr>
        <w:pStyle w:val="Title"/>
      </w:pPr>
      <w:r w:rsidRPr="00752793">
        <w:t>ՀԱՇՎԵՔՆՆԻՉ ՊԱԼԱՏԻ 202</w:t>
      </w:r>
      <w:r w:rsidR="009506EF" w:rsidRPr="00752793">
        <w:t>6</w:t>
      </w:r>
      <w:r w:rsidRPr="00752793">
        <w:t xml:space="preserve"> ԹՎԱԿԱՆԻ ԳՈՐԾՈՒՆԵՈՒԹՅԱՆ ԾՐԱԳԻՐ</w:t>
      </w:r>
      <w:r w:rsidR="008368B7" w:rsidRPr="00752793">
        <w:t>Ը</w:t>
      </w:r>
    </w:p>
    <w:p w14:paraId="26FDFC75" w14:textId="54266B97" w:rsidR="0082642A" w:rsidRPr="00752793" w:rsidRDefault="0082642A" w:rsidP="00856E20">
      <w:r w:rsidRPr="00752793">
        <w:t>Հաշվեքննիչ պալատի գործունեության ծրագիրն արտացոլում է արտաքին պետական հաշվեքննության ոլորտում 2026 թվականին իրականացվող քաղաքականությունը</w:t>
      </w:r>
      <w:r w:rsidRPr="00752793">
        <w:rPr>
          <w:rStyle w:val="FootnoteReference"/>
        </w:rPr>
        <w:footnoteReference w:id="4"/>
      </w:r>
      <w:r w:rsidRPr="00752793">
        <w:t>։ Այն բխում է «Հաշվեքննության 2026</w:t>
      </w:r>
      <w:r w:rsidRPr="00752793">
        <w:noBreakHyphen/>
        <w:t>2028 թվականների առաջնահերթություններից»</w:t>
      </w:r>
      <w:r w:rsidRPr="00752793">
        <w:rPr>
          <w:rStyle w:val="FootnoteReference"/>
        </w:rPr>
        <w:footnoteReference w:id="5"/>
      </w:r>
      <w:r w:rsidRPr="00752793">
        <w:t xml:space="preserve"> և Հաշվեքննիչ պալատի ռազմավարական զարգացման ծրագրի իրականացման միջոցառումներից</w:t>
      </w:r>
      <w:r w:rsidRPr="00752793">
        <w:rPr>
          <w:rStyle w:val="FootnoteReference"/>
        </w:rPr>
        <w:footnoteReference w:id="6"/>
      </w:r>
      <w:r w:rsidRPr="00752793">
        <w:t>:</w:t>
      </w:r>
    </w:p>
    <w:p w14:paraId="2A3304F9" w14:textId="12662296" w:rsidR="008368B7" w:rsidRPr="00752793" w:rsidRDefault="002A77C6" w:rsidP="00856E20">
      <w:r w:rsidRPr="00752793">
        <w:t>Հաշվեքննիչ պալատի գործունեության նպատակը հաշվեքննությունների իրականացմամբ հանրային սեփականության, ներառյալ՝ ֆինանսների կառավարման ոլորտում օրինականության և արդյունավետության պահպանման վերաբերյալ հանրությանն ու Ազգային ժողով ժամանակին մասնագիտական ու անկողմնակալ տեղեկատվություն ներկայացնելն է</w:t>
      </w:r>
      <w:r w:rsidR="008368B7" w:rsidRPr="00752793">
        <w:rPr>
          <w:rStyle w:val="FootnoteReference"/>
        </w:rPr>
        <w:footnoteReference w:id="7"/>
      </w:r>
      <w:r w:rsidR="008368B7" w:rsidRPr="00752793">
        <w:t xml:space="preserve">: </w:t>
      </w:r>
    </w:p>
    <w:p w14:paraId="36EBC7A1" w14:textId="73498BF0" w:rsidR="008368B7" w:rsidRPr="00752793" w:rsidRDefault="008368B7" w:rsidP="00856E20">
      <w:r w:rsidRPr="00752793">
        <w:t>Հաշվեքննիչ պալատը 2026 թվականին ապահովելու է օրենսդրությամբ սահմանված</w:t>
      </w:r>
      <w:r w:rsidR="00856E20" w:rsidRPr="00752793">
        <w:rPr>
          <w:rStyle w:val="FootnoteReference"/>
        </w:rPr>
        <w:footnoteReference w:id="8"/>
      </w:r>
      <w:r w:rsidRPr="00752793">
        <w:t xml:space="preserve"> պահանջների կատարումը՝ ՀՀ Ազգային ժողով և ՀՀ կառավարություն է ներկայացնելու ու հրապարակելու է ՀՀ 2026 թվականի պետական բյուջեի կատարման վերաբերյալ Եզրակացությունը, ինչպես նաև ծրագրում ներառված հաշվեքննությունների արդյունքներն ամփոփող Ընթացիկ եզրակացությունները (հաշվետվությունները)</w:t>
      </w:r>
      <w:r w:rsidR="00856E20" w:rsidRPr="00752793" w:rsidDel="00856E20">
        <w:rPr>
          <w:rStyle w:val="FootnoteReference"/>
        </w:rPr>
        <w:t xml:space="preserve"> </w:t>
      </w:r>
      <w:r w:rsidRPr="00752793">
        <w:t>։</w:t>
      </w:r>
    </w:p>
    <w:p w14:paraId="0EF91F86" w14:textId="6DD5BA84" w:rsidR="0082642A" w:rsidRPr="00752793" w:rsidRDefault="0082642A" w:rsidP="00856E20">
      <w:r w:rsidRPr="00752793">
        <w:t xml:space="preserve">Գործունեության ծրագրում ներառվել են այն թեմաները, որոնց հաշվեքննությամբ գնահատվում է, որ Հաշվեքննիչ պալատի համար օգտագործվող հանրային միջոցների դիմաց հնարավոր կլինի ստանալ առավելագույն արժեք։ Մասնավորապես, թեմաների ընտրության համար հաշվի են առնվել հանրային կառավարման հայտարարված ստորև ներկայացվող գերակայությունները։ </w:t>
      </w:r>
    </w:p>
    <w:p w14:paraId="07A9F5DB" w14:textId="04B0A411" w:rsidR="0082642A" w:rsidRPr="00752793" w:rsidRDefault="0082642A" w:rsidP="00866885">
      <w:pPr>
        <w:spacing w:before="360"/>
        <w:rPr>
          <w:rStyle w:val="Strong"/>
        </w:rPr>
      </w:pPr>
      <w:r w:rsidRPr="00752793">
        <w:rPr>
          <w:rStyle w:val="Strong"/>
        </w:rPr>
        <w:t>Գերակայություն 1. Մարդկային կապիտալի զարգացում</w:t>
      </w:r>
    </w:p>
    <w:p w14:paraId="063B1BA5" w14:textId="281BF057" w:rsidR="0082642A" w:rsidRPr="00752793" w:rsidRDefault="0082642A" w:rsidP="00856E20">
      <w:r w:rsidRPr="00752793">
        <w:t xml:space="preserve">Կրթական համակարգի զարգացումը գերակա խնդիր է և այն կայուն զարգացման ու համընդհանուր բարեկեցության բանալին է: Անհատի և հանրային առողջության պահպանումը ու բարելավումը մարդկային կապիտալի հաջորդ կարևորագույն բաղադրիչն է։ Առողջապահական </w:t>
      </w:r>
      <w:r w:rsidRPr="00752793">
        <w:lastRenderedPageBreak/>
        <w:t xml:space="preserve">ծառայությունների հասանելիությունը, որակը և մատչելիությունը էապես կախված է բնագավառում աշխատող մարդկանցից։ </w:t>
      </w:r>
    </w:p>
    <w:p w14:paraId="24A032C1" w14:textId="1DECA363" w:rsidR="0082642A" w:rsidRPr="00752793" w:rsidRDefault="0082642A" w:rsidP="00856E20">
      <w:r w:rsidRPr="00752793">
        <w:t>Այդ առումով, «կրթություն-աշխատաշուկա» ռացիոնալ («փողի դիմաց առավելագույն արժեք») կապի ուղղությամբ հանրային կառավարման համակարգի գործունեությունը կարևոր նախադրյալ է՝ առողջապահության ոլորտը բարձրագույն և հետբուհական կրթությամբ որակյալ մասնագետներով համաչափ ապահովելը (</w:t>
      </w:r>
      <w:r w:rsidRPr="00752793">
        <w:rPr>
          <w:rStyle w:val="QuoteChar"/>
        </w:rPr>
        <w:t>Գործունեության ծրագրի 2-րդ կետ</w:t>
      </w:r>
      <w:r w:rsidRPr="00752793">
        <w:t>)։</w:t>
      </w:r>
    </w:p>
    <w:p w14:paraId="044E5559" w14:textId="5E71745D" w:rsidR="0082642A" w:rsidRPr="00752793" w:rsidRDefault="0082642A" w:rsidP="00866885">
      <w:pPr>
        <w:spacing w:before="360"/>
        <w:rPr>
          <w:rStyle w:val="Strong"/>
        </w:rPr>
      </w:pPr>
      <w:r w:rsidRPr="00752793">
        <w:rPr>
          <w:rStyle w:val="Strong"/>
        </w:rPr>
        <w:t>Գերակայություն 2. Տնտեսություն</w:t>
      </w:r>
    </w:p>
    <w:p w14:paraId="30C7D73A" w14:textId="428E52DF" w:rsidR="0082642A" w:rsidRPr="00752793" w:rsidRDefault="0082642A" w:rsidP="00856E20">
      <w:r w:rsidRPr="00752793">
        <w:t xml:space="preserve"> Բարեկեցության աճի հիմնական շարժիչ ուժը տնտեսական նշանակալի աճն է: Տնտեսական բարձր աճի և գեներացվող եկամուտների բաշխման համաչափության պարագայում է միայն հնարավոր մարդկանց կյանքի որակի բարձրացումը։</w:t>
      </w:r>
    </w:p>
    <w:p w14:paraId="7D989FFD" w14:textId="77777777" w:rsidR="0082642A" w:rsidRPr="00752793" w:rsidRDefault="0082642A" w:rsidP="00856E20">
      <w:r w:rsidRPr="00752793">
        <w:t>Տնտեսության կարևոր ճյուղերից մեկի՝ գյուղատնտեսության զարգացման հիմնախնդրի լուծման ուղղությամբ պետական քաղաքականության միջոցառումների բարելավումը տնտեսական աճի, ներառյալ նաև՝ պարենային անվտանգության, զգալի չիրացված ներուժ ունի (</w:t>
      </w:r>
      <w:r w:rsidRPr="00752793">
        <w:rPr>
          <w:rStyle w:val="QuoteChar"/>
        </w:rPr>
        <w:t>Գործունեության ծրագրի 3-րդ կետ</w:t>
      </w:r>
      <w:r w:rsidRPr="00752793">
        <w:t>)։</w:t>
      </w:r>
    </w:p>
    <w:p w14:paraId="633E9788" w14:textId="77777777" w:rsidR="0082642A" w:rsidRPr="00752793" w:rsidRDefault="0082642A" w:rsidP="00856E20">
      <w:pPr>
        <w:rPr>
          <w:rFonts w:eastAsiaTheme="minorEastAsia"/>
        </w:rPr>
      </w:pPr>
      <w:r w:rsidRPr="00752793">
        <w:t>Ներքին շուկայի փոքրությամբ պայմանավորված՝ տնտեսական աճի ներուժի ընդլայնումն էապես կախված է արտաքին առևտրի բնագավառում մրցունակությունից։ Այդ առումով, արտահանման ներուժ ունեցող թիրախային մրցունակ արտադրանքի թողարկումն անհրաժեշտ, բայց ոչ բավարար պայման է։ Միջազգային շուկայում թիրախավորած իրացման սեգմենտը «զբաղեցնելու» համար անհրաժեշտ է նաև ձևավորել  ՀՀ տնտեսության թողարկումը համարժեք առևտրայնացնելու (մարքեթինգի) կարողություններ։ (</w:t>
      </w:r>
      <w:r w:rsidRPr="00752793">
        <w:rPr>
          <w:rStyle w:val="QuoteChar"/>
        </w:rPr>
        <w:t>Գործունեության ծրագրի 4-րդ կետ</w:t>
      </w:r>
      <w:r w:rsidRPr="00752793">
        <w:t>)։</w:t>
      </w:r>
    </w:p>
    <w:p w14:paraId="73482886" w14:textId="77777777" w:rsidR="0082642A" w:rsidRPr="00752793" w:rsidRDefault="0082642A" w:rsidP="00856E20">
      <w:r w:rsidRPr="00752793">
        <w:t xml:space="preserve">Տնտեսության զարգացման հաջորդ կարևոր բաղադրիչի՝ հանրային բարիքի բաշխման, իր նպատակին ծառայեցնելու արդյունավետությունը կանխորոշվում է պետական բյուջեով։ Պետական բյուջեի ազդեցության ներուժի առավելագույն իրացումը զգալիորեն կախված է բյուջետային «գործիքների» կիրառության համարժեքությունից։ </w:t>
      </w:r>
      <w:bookmarkStart w:id="2" w:name="_Hlk216007974"/>
      <w:r w:rsidRPr="00752793">
        <w:t>(</w:t>
      </w:r>
      <w:r w:rsidRPr="00752793">
        <w:rPr>
          <w:rStyle w:val="QuoteChar"/>
        </w:rPr>
        <w:t>Գործունեության ծրագրի 5, 6-րդ կետեր</w:t>
      </w:r>
      <w:r w:rsidRPr="00752793">
        <w:t>)</w:t>
      </w:r>
      <w:bookmarkEnd w:id="2"/>
      <w:r w:rsidRPr="00752793">
        <w:t>։</w:t>
      </w:r>
    </w:p>
    <w:p w14:paraId="00F874D1" w14:textId="42A4209C" w:rsidR="0082642A" w:rsidRPr="00752793" w:rsidRDefault="0082642A" w:rsidP="00866885">
      <w:pPr>
        <w:spacing w:before="360"/>
        <w:rPr>
          <w:rStyle w:val="Strong"/>
        </w:rPr>
      </w:pPr>
      <w:r w:rsidRPr="00752793">
        <w:rPr>
          <w:rStyle w:val="Strong"/>
        </w:rPr>
        <w:t>Գերակայություն 3. Ինստիտուցիոնալ զարգացում</w:t>
      </w:r>
    </w:p>
    <w:p w14:paraId="56A6140C" w14:textId="701881C2" w:rsidR="0082642A" w:rsidRPr="00752793" w:rsidRDefault="006817DA" w:rsidP="00856E20">
      <w:r w:rsidRPr="00752793">
        <w:t>Պ</w:t>
      </w:r>
      <w:r w:rsidR="0082642A" w:rsidRPr="00752793">
        <w:t xml:space="preserve">ետական </w:t>
      </w:r>
      <w:r w:rsidRPr="00752793">
        <w:t xml:space="preserve"> կայացած </w:t>
      </w:r>
      <w:r w:rsidR="0082642A" w:rsidRPr="00752793">
        <w:t>ինստիտուտներն են ի վիճակի հանրությանը մատուցել որակյալ ծառայություններ՝ դրանք դարձնելով մարդակենտրոն և արդիական ու առաջադեմ տեխնոլոգիաների կիրառությամբ թեթևացնել պետության հետ հարաբերություններում մարդկանց և գործարար հատվածի անհարկի բեռը:</w:t>
      </w:r>
    </w:p>
    <w:p w14:paraId="3C5BEAF3" w14:textId="77777777" w:rsidR="0082642A" w:rsidRPr="00752793" w:rsidRDefault="0082642A" w:rsidP="00856E20">
      <w:r w:rsidRPr="00752793">
        <w:t>Այդ առումով, հանրային ունեցվածքի՝ ներառյալ պետության և համայնքների սեփականության կառավարումը էական գործոն է պետական ինստիտուտների արդյունավետության համար։ (</w:t>
      </w:r>
      <w:r w:rsidRPr="00752793">
        <w:rPr>
          <w:rStyle w:val="QuoteChar"/>
        </w:rPr>
        <w:t>Գործունեության ծրագրի 7, 8, 9 ,10-րդ կետեր</w:t>
      </w:r>
      <w:r w:rsidRPr="00752793">
        <w:t>)։</w:t>
      </w:r>
    </w:p>
    <w:p w14:paraId="2D51425F" w14:textId="5EA9B9C5" w:rsidR="0082642A" w:rsidRPr="00752793" w:rsidRDefault="006817DA" w:rsidP="00856E20">
      <w:r w:rsidRPr="00752793">
        <w:lastRenderedPageBreak/>
        <w:t>Տարածքային կառավարման և տեղական ինքնակառավարման բնագավառում վերջին տարիներին տեղի ունեցած զարգացումների արդյունքում հ</w:t>
      </w:r>
      <w:r w:rsidR="0082642A" w:rsidRPr="00752793">
        <w:t>ամայնքներ</w:t>
      </w:r>
      <w:r w:rsidRPr="00752793">
        <w:t xml:space="preserve">ը զգալիորեն </w:t>
      </w:r>
      <w:r w:rsidR="0082642A" w:rsidRPr="00752793">
        <w:t>խոշորաց</w:t>
      </w:r>
      <w:r w:rsidRPr="00752793">
        <w:t>ել են</w:t>
      </w:r>
      <w:r w:rsidR="0082642A" w:rsidRPr="00752793">
        <w:t>: Խոշորացված համայնքների կառավարումը արդյունավետության նոր հնարավորություններ է ստեղծում թե՛ ներհամայնքային զարգացման համաչափության և թե՛ մասշտաբի էֆեկտի առումով, որի ներուժը</w:t>
      </w:r>
      <w:r w:rsidR="00443956" w:rsidRPr="00443956">
        <w:t>,</w:t>
      </w:r>
      <w:r w:rsidR="0082642A" w:rsidRPr="00752793">
        <w:t xml:space="preserve"> սակայն դեռևս իրացված չէ: (</w:t>
      </w:r>
      <w:r w:rsidR="0082642A" w:rsidRPr="00752793">
        <w:rPr>
          <w:rStyle w:val="QuoteChar"/>
        </w:rPr>
        <w:t>Գործունեության ծրագրի 11-րդ կետ</w:t>
      </w:r>
      <w:r w:rsidR="0082642A" w:rsidRPr="00752793">
        <w:t>)։</w:t>
      </w:r>
    </w:p>
    <w:p w14:paraId="216C050A" w14:textId="77777777" w:rsidR="0082642A" w:rsidRPr="00752793" w:rsidRDefault="0082642A" w:rsidP="00856E20">
      <w:r w:rsidRPr="00752793">
        <w:t>Հաշվեքննիչ պալատը, հաշվի առնելով օրենսդրության պահանջները և 2026 թվականի համար վերոնկարագրյալ գերակայությունները, հաստատել է հետևյալ 3 բաժնից</w:t>
      </w:r>
      <w:r w:rsidRPr="00752793" w:rsidDel="00AC2546">
        <w:t xml:space="preserve"> </w:t>
      </w:r>
      <w:r w:rsidRPr="00752793">
        <w:t>բաղկացած իր գործունեության ծրագիրը.</w:t>
      </w:r>
    </w:p>
    <w:p w14:paraId="480A11E5" w14:textId="77777777" w:rsidR="0082642A" w:rsidRPr="00443956" w:rsidRDefault="0082642A" w:rsidP="006817DA">
      <w:pPr>
        <w:pStyle w:val="ListParagraph"/>
        <w:rPr>
          <w:lang w:val="hy-AM"/>
        </w:rPr>
      </w:pPr>
      <w:r w:rsidRPr="00443956">
        <w:rPr>
          <w:lang w:val="hy-AM"/>
        </w:rPr>
        <w:t>Պետական բյուջեի ֆինանսական և թեմատիկ հաշվեքննություններ,</w:t>
      </w:r>
    </w:p>
    <w:p w14:paraId="455D600C" w14:textId="3048930F" w:rsidR="0082642A" w:rsidRPr="00443956" w:rsidRDefault="0082642A" w:rsidP="006817DA">
      <w:pPr>
        <w:pStyle w:val="ListParagraph"/>
        <w:rPr>
          <w:lang w:val="hy-AM"/>
        </w:rPr>
      </w:pPr>
      <w:r w:rsidRPr="00443956">
        <w:rPr>
          <w:lang w:val="hy-AM"/>
        </w:rPr>
        <w:t>Միջազգային համաձայնագրերով ստանձած պարտավորությունների կատարմանն ուղղված միջոցառումներ</w:t>
      </w:r>
      <w:r w:rsidRPr="00443956">
        <w:rPr>
          <w:rStyle w:val="FootnoteReference"/>
        </w:rPr>
        <w:footnoteReference w:id="9"/>
      </w:r>
      <w:r w:rsidRPr="00443956">
        <w:rPr>
          <w:lang w:val="hy-AM"/>
        </w:rPr>
        <w:t>, և</w:t>
      </w:r>
    </w:p>
    <w:p w14:paraId="2A3A8EBE" w14:textId="77777777" w:rsidR="0082642A" w:rsidRPr="00443956" w:rsidRDefault="0082642A" w:rsidP="006817DA">
      <w:pPr>
        <w:pStyle w:val="ListParagraph"/>
        <w:rPr>
          <w:lang w:val="hy-AM"/>
        </w:rPr>
      </w:pPr>
      <w:r w:rsidRPr="00443956">
        <w:rPr>
          <w:lang w:val="hy-AM"/>
        </w:rPr>
        <w:t>Հաշվեքննիչ պալատի 2026-2032 թվականների ռազմավարական զարգացման ծրագրի միջոցառումներ։</w:t>
      </w:r>
    </w:p>
    <w:p w14:paraId="55A93CAA" w14:textId="0A8FD804" w:rsidR="0033452E" w:rsidRPr="00752793" w:rsidRDefault="00325EEA" w:rsidP="00856E20">
      <w:pPr>
        <w:rPr>
          <w:lang w:bidi="hi-IN"/>
        </w:rPr>
        <w:sectPr w:rsidR="0033452E" w:rsidRPr="00752793" w:rsidSect="002754D0">
          <w:footerReference w:type="default" r:id="rId16"/>
          <w:pgSz w:w="12240" w:h="15840"/>
          <w:pgMar w:top="1135" w:right="616" w:bottom="426" w:left="993" w:header="720" w:footer="624" w:gutter="0"/>
          <w:pgNumType w:start="0"/>
          <w:cols w:space="720"/>
          <w:titlePg/>
          <w:docGrid w:linePitch="360"/>
        </w:sectPr>
      </w:pPr>
      <w:r w:rsidRPr="00752793">
        <w:t>Հաշվեքննիչ պալատի 2026 թվականի գործունեության ծրագր</w:t>
      </w:r>
      <w:r w:rsidR="00BD4E1F" w:rsidRPr="00752793">
        <w:t>ի</w:t>
      </w:r>
      <w:r w:rsidRPr="00752793">
        <w:t xml:space="preserve"> բաժիններում ներառված թեմաները</w:t>
      </w:r>
      <w:r w:rsidR="008D73FE" w:rsidRPr="00752793">
        <w:t>,</w:t>
      </w:r>
      <w:r w:rsidRPr="00752793">
        <w:t xml:space="preserve">  միջոցառումները</w:t>
      </w:r>
      <w:r w:rsidR="008D73FE" w:rsidRPr="00752793">
        <w:t xml:space="preserve"> և դրանց հիմնավորումները</w:t>
      </w:r>
      <w:r w:rsidRPr="00752793">
        <w:t xml:space="preserve"> ներկայացված են ստորև</w:t>
      </w:r>
      <w:r w:rsidRPr="00752793">
        <w:rPr>
          <w:lang w:bidi="hi-IN"/>
        </w:rPr>
        <w:t>։</w:t>
      </w:r>
    </w:p>
    <w:p w14:paraId="474A1D44" w14:textId="1FE7FED9" w:rsidR="0033452E" w:rsidRPr="00752793" w:rsidRDefault="0033452E" w:rsidP="00866885">
      <w:pPr>
        <w:pStyle w:val="Subtitle"/>
        <w:spacing w:after="480"/>
        <w:ind w:left="567" w:firstLine="0"/>
        <w:jc w:val="left"/>
        <w:rPr>
          <w:sz w:val="26"/>
          <w:szCs w:val="26"/>
        </w:rPr>
      </w:pPr>
      <w:r w:rsidRPr="00443956">
        <w:rPr>
          <w:sz w:val="26"/>
          <w:szCs w:val="26"/>
        </w:rPr>
        <w:lastRenderedPageBreak/>
        <w:t>ՀԱՇՎԵՔՆՆԻՉ ՊԱԼԱՏԻ 2026 ԹՎԱԿԱՆԻ ԳՈՐԾՈՒՆԵՈՒԹՅԱՆ ԾՐԱԳ</w:t>
      </w:r>
      <w:r w:rsidRPr="00752793">
        <w:rPr>
          <w:sz w:val="26"/>
          <w:szCs w:val="26"/>
        </w:rPr>
        <w:t>ՐՈՒՄ ՆԵՐԱՌՎԱԾ ՀԱՇՎԵՔՆՆՈՒԹՅՈՒՆՆԵՐ</w:t>
      </w:r>
      <w:r w:rsidR="00325EEA" w:rsidRPr="00752793">
        <w:rPr>
          <w:sz w:val="26"/>
          <w:szCs w:val="26"/>
        </w:rPr>
        <w:t>Ի ԹԵՄԱՆԵՐԸ</w:t>
      </w:r>
      <w:r w:rsidRPr="00752793">
        <w:rPr>
          <w:sz w:val="26"/>
          <w:szCs w:val="26"/>
        </w:rPr>
        <w:t xml:space="preserve"> ԵՎ ՄԻՋՈՑԱՌՈՒՄՆԵՐԸ</w:t>
      </w:r>
    </w:p>
    <w:tbl>
      <w:tblPr>
        <w:tblStyle w:val="TableGrid1"/>
        <w:tblW w:w="14034" w:type="dxa"/>
        <w:tblInd w:w="562" w:type="dxa"/>
        <w:tblLayout w:type="fixed"/>
        <w:tblLook w:val="04A0" w:firstRow="1" w:lastRow="0" w:firstColumn="1" w:lastColumn="0" w:noHBand="0" w:noVBand="1"/>
      </w:tblPr>
      <w:tblGrid>
        <w:gridCol w:w="566"/>
        <w:gridCol w:w="4252"/>
        <w:gridCol w:w="2412"/>
        <w:gridCol w:w="2268"/>
        <w:gridCol w:w="2693"/>
        <w:gridCol w:w="1843"/>
      </w:tblGrid>
      <w:tr w:rsidR="006F50ED" w:rsidRPr="00752793" w14:paraId="638D08AD" w14:textId="77777777" w:rsidTr="006F50ED">
        <w:trPr>
          <w:trHeight w:val="181"/>
        </w:trPr>
        <w:tc>
          <w:tcPr>
            <w:tcW w:w="14034" w:type="dxa"/>
            <w:gridSpan w:val="6"/>
            <w:tcBorders>
              <w:top w:val="nil"/>
              <w:left w:val="nil"/>
              <w:right w:val="nil"/>
            </w:tcBorders>
            <w:shd w:val="clear" w:color="auto" w:fill="auto"/>
            <w:vAlign w:val="center"/>
          </w:tcPr>
          <w:p w14:paraId="015187C8" w14:textId="77777777" w:rsidR="0033452E" w:rsidRPr="00443956" w:rsidRDefault="0033452E" w:rsidP="00866885">
            <w:pPr>
              <w:keepNext/>
              <w:keepLines/>
              <w:spacing w:before="480" w:after="360"/>
              <w:ind w:firstLine="0"/>
              <w:jc w:val="left"/>
              <w:rPr>
                <w:rFonts w:ascii="GHEA Grapalat" w:hAnsi="GHEA Grapalat"/>
                <w:b/>
                <w:bCs/>
                <w:color w:val="806000" w:themeColor="accent4" w:themeShade="80"/>
                <w:sz w:val="24"/>
                <w:szCs w:val="24"/>
              </w:rPr>
            </w:pPr>
            <w:r w:rsidRPr="00443956">
              <w:rPr>
                <w:rFonts w:ascii="GHEA Grapalat" w:hAnsi="GHEA Grapalat"/>
                <w:b/>
                <w:bCs/>
                <w:color w:val="806000" w:themeColor="accent4" w:themeShade="80"/>
              </w:rPr>
              <w:t>1-ԻՆ ԲԱԺԻՆ - ՊԵՏԱԿԱՆ ԲՅՈՒՋԵԻ ԿԱՏԱՐՄԱՆ ՀԱՇՎԵՔՆՆՈՒԹՅՈՒՆ</w:t>
            </w:r>
          </w:p>
        </w:tc>
      </w:tr>
      <w:tr w:rsidR="007448E7" w:rsidRPr="00752793" w14:paraId="32D1727B" w14:textId="77777777" w:rsidTr="00866885">
        <w:trPr>
          <w:trHeight w:val="181"/>
          <w:tblHeader/>
        </w:trPr>
        <w:tc>
          <w:tcPr>
            <w:tcW w:w="566" w:type="dxa"/>
            <w:shd w:val="clear" w:color="auto" w:fill="D9E2F3" w:themeFill="accent5" w:themeFillTint="33"/>
            <w:vAlign w:val="center"/>
          </w:tcPr>
          <w:p w14:paraId="4355132D" w14:textId="77777777" w:rsidR="0033452E" w:rsidRPr="00752793" w:rsidRDefault="0033452E" w:rsidP="00866885">
            <w:pPr>
              <w:ind w:firstLine="0"/>
              <w:jc w:val="center"/>
              <w:rPr>
                <w:rFonts w:ascii="GHEA Grapalat" w:hAnsi="GHEA Grapalat" w:cstheme="minorBidi"/>
                <w:b/>
                <w:bCs/>
                <w:sz w:val="24"/>
                <w:szCs w:val="24"/>
              </w:rPr>
            </w:pPr>
            <w:bookmarkStart w:id="3" w:name="_Hlk216251233"/>
            <w:r w:rsidRPr="00752793">
              <w:rPr>
                <w:rFonts w:ascii="GHEA Grapalat" w:hAnsi="GHEA Grapalat" w:cstheme="minorBidi"/>
                <w:b/>
                <w:bCs/>
              </w:rPr>
              <w:t>N</w:t>
            </w:r>
          </w:p>
        </w:tc>
        <w:tc>
          <w:tcPr>
            <w:tcW w:w="4252" w:type="dxa"/>
            <w:shd w:val="clear" w:color="auto" w:fill="D9E2F3" w:themeFill="accent5" w:themeFillTint="33"/>
            <w:vAlign w:val="center"/>
          </w:tcPr>
          <w:p w14:paraId="31CD90FC" w14:textId="77777777" w:rsidR="0033452E" w:rsidRPr="00752793" w:rsidRDefault="0033452E" w:rsidP="00114E4D">
            <w:pPr>
              <w:ind w:firstLine="0"/>
              <w:jc w:val="center"/>
              <w:rPr>
                <w:rFonts w:ascii="GHEA Grapalat" w:hAnsi="GHEA Grapalat"/>
                <w:b/>
                <w:bCs/>
                <w:sz w:val="24"/>
                <w:szCs w:val="24"/>
              </w:rPr>
            </w:pPr>
            <w:r w:rsidRPr="00752793">
              <w:rPr>
                <w:rFonts w:ascii="GHEA Grapalat" w:hAnsi="GHEA Grapalat" w:cstheme="minorBidi"/>
                <w:b/>
                <w:bCs/>
              </w:rPr>
              <w:t>ՕԲՅԵԿՏԸ</w:t>
            </w:r>
          </w:p>
        </w:tc>
        <w:tc>
          <w:tcPr>
            <w:tcW w:w="2412" w:type="dxa"/>
            <w:shd w:val="clear" w:color="auto" w:fill="D9E2F3" w:themeFill="accent5" w:themeFillTint="33"/>
            <w:vAlign w:val="center"/>
          </w:tcPr>
          <w:p w14:paraId="363FD76F" w14:textId="77777777" w:rsidR="0033452E" w:rsidRPr="00752793" w:rsidRDefault="0033452E" w:rsidP="00114E4D">
            <w:pPr>
              <w:ind w:firstLine="0"/>
              <w:jc w:val="center"/>
              <w:rPr>
                <w:rFonts w:ascii="GHEA Grapalat" w:hAnsi="GHEA Grapalat" w:cstheme="minorBidi"/>
                <w:b/>
                <w:bCs/>
                <w:sz w:val="24"/>
                <w:szCs w:val="24"/>
              </w:rPr>
            </w:pPr>
            <w:r w:rsidRPr="00752793">
              <w:rPr>
                <w:rFonts w:ascii="GHEA Grapalat" w:hAnsi="GHEA Grapalat" w:cstheme="minorBidi"/>
                <w:b/>
                <w:bCs/>
              </w:rPr>
              <w:t>ԱՌԱՐԿԱՆ</w:t>
            </w:r>
          </w:p>
        </w:tc>
        <w:tc>
          <w:tcPr>
            <w:tcW w:w="2268" w:type="dxa"/>
            <w:shd w:val="clear" w:color="auto" w:fill="D9E2F3" w:themeFill="accent5" w:themeFillTint="33"/>
            <w:vAlign w:val="center"/>
          </w:tcPr>
          <w:p w14:paraId="4A388687" w14:textId="77777777" w:rsidR="0033452E" w:rsidRPr="00752793" w:rsidRDefault="0033452E" w:rsidP="00114E4D">
            <w:pPr>
              <w:ind w:firstLine="0"/>
              <w:jc w:val="center"/>
              <w:rPr>
                <w:rFonts w:ascii="GHEA Grapalat" w:hAnsi="GHEA Grapalat" w:cstheme="minorBidi"/>
                <w:b/>
                <w:bCs/>
                <w:sz w:val="24"/>
                <w:szCs w:val="24"/>
              </w:rPr>
            </w:pPr>
            <w:r w:rsidRPr="00752793">
              <w:rPr>
                <w:rFonts w:ascii="GHEA Grapalat" w:hAnsi="GHEA Grapalat" w:cstheme="minorBidi"/>
                <w:b/>
                <w:bCs/>
              </w:rPr>
              <w:t>ՏԵՍԱԿԸ</w:t>
            </w:r>
          </w:p>
        </w:tc>
        <w:tc>
          <w:tcPr>
            <w:tcW w:w="2693" w:type="dxa"/>
            <w:shd w:val="clear" w:color="auto" w:fill="D9E2F3" w:themeFill="accent5" w:themeFillTint="33"/>
            <w:vAlign w:val="center"/>
          </w:tcPr>
          <w:p w14:paraId="758DD4A3" w14:textId="77777777" w:rsidR="0033452E" w:rsidRPr="00752793" w:rsidRDefault="0033452E" w:rsidP="00114E4D">
            <w:pPr>
              <w:ind w:firstLine="0"/>
              <w:jc w:val="center"/>
              <w:rPr>
                <w:rFonts w:ascii="GHEA Grapalat" w:hAnsi="GHEA Grapalat" w:cstheme="minorBidi"/>
                <w:b/>
                <w:bCs/>
                <w:sz w:val="24"/>
                <w:szCs w:val="24"/>
              </w:rPr>
            </w:pPr>
            <w:r w:rsidRPr="00752793">
              <w:rPr>
                <w:rFonts w:ascii="GHEA Grapalat" w:hAnsi="GHEA Grapalat" w:cstheme="minorBidi"/>
                <w:b/>
                <w:bCs/>
              </w:rPr>
              <w:t>ՊԱՏԱՍԽԱՆԱՏՈՒ ՍՏՈՐԱԲԱԺԱՆՈՒՄԸ</w:t>
            </w:r>
          </w:p>
        </w:tc>
        <w:tc>
          <w:tcPr>
            <w:tcW w:w="1843" w:type="dxa"/>
            <w:shd w:val="clear" w:color="auto" w:fill="D9E2F3" w:themeFill="accent5" w:themeFillTint="33"/>
            <w:vAlign w:val="center"/>
          </w:tcPr>
          <w:p w14:paraId="5D236B1F" w14:textId="77777777" w:rsidR="0033452E" w:rsidRPr="00752793" w:rsidRDefault="0033452E" w:rsidP="00114E4D">
            <w:pPr>
              <w:ind w:firstLine="0"/>
              <w:jc w:val="center"/>
              <w:rPr>
                <w:rFonts w:ascii="GHEA Grapalat" w:hAnsi="GHEA Grapalat" w:cstheme="minorBidi"/>
                <w:b/>
                <w:bCs/>
                <w:sz w:val="24"/>
                <w:szCs w:val="24"/>
              </w:rPr>
            </w:pPr>
            <w:r w:rsidRPr="00752793">
              <w:rPr>
                <w:rFonts w:ascii="GHEA Grapalat" w:hAnsi="GHEA Grapalat" w:cstheme="minorBidi"/>
                <w:b/>
                <w:bCs/>
              </w:rPr>
              <w:t>ԻՐԱԿԱՆԱՑ-ՄԱՆ ԺԱՄԿԵՏԸ</w:t>
            </w:r>
          </w:p>
        </w:tc>
      </w:tr>
      <w:tr w:rsidR="00BA3448" w:rsidRPr="00752793" w14:paraId="7CA4BE40" w14:textId="77777777" w:rsidTr="00866885">
        <w:trPr>
          <w:trHeight w:val="70"/>
        </w:trPr>
        <w:tc>
          <w:tcPr>
            <w:tcW w:w="566" w:type="dxa"/>
            <w:tcBorders>
              <w:bottom w:val="single" w:sz="4" w:space="0" w:color="auto"/>
            </w:tcBorders>
          </w:tcPr>
          <w:p w14:paraId="2821B9F1" w14:textId="77777777" w:rsidR="0033452E" w:rsidRPr="00752793" w:rsidRDefault="0033452E" w:rsidP="00866885">
            <w:pPr>
              <w:pStyle w:val="ListParagraph"/>
              <w:numPr>
                <w:ilvl w:val="0"/>
                <w:numId w:val="11"/>
              </w:numPr>
              <w:ind w:left="0" w:firstLine="0"/>
              <w:jc w:val="left"/>
              <w:rPr>
                <w:rFonts w:ascii="GHEA Grapalat" w:eastAsiaTheme="minorHAnsi" w:hAnsi="GHEA Grapalat"/>
                <w:sz w:val="24"/>
                <w:szCs w:val="24"/>
              </w:rPr>
            </w:pPr>
            <w:bookmarkStart w:id="4" w:name="_Hlk216261121"/>
            <w:bookmarkEnd w:id="3"/>
            <w:r w:rsidRPr="00752793">
              <w:rPr>
                <w:rFonts w:ascii="GHEA Grapalat" w:eastAsiaTheme="minorHAnsi" w:hAnsi="GHEA Grapalat"/>
              </w:rPr>
              <w:t>1</w:t>
            </w:r>
          </w:p>
        </w:tc>
        <w:tc>
          <w:tcPr>
            <w:tcW w:w="4252" w:type="dxa"/>
            <w:tcBorders>
              <w:bottom w:val="single" w:sz="4" w:space="0" w:color="auto"/>
            </w:tcBorders>
          </w:tcPr>
          <w:p w14:paraId="30E7238D" w14:textId="77777777" w:rsidR="0033452E" w:rsidRPr="00752793" w:rsidRDefault="0033452E" w:rsidP="00866885">
            <w:pPr>
              <w:ind w:firstLine="0"/>
              <w:jc w:val="left"/>
              <w:rPr>
                <w:rFonts w:ascii="GHEA Grapalat" w:hAnsi="GHEA Grapalat"/>
                <w:sz w:val="24"/>
                <w:szCs w:val="24"/>
              </w:rPr>
            </w:pPr>
            <w:r w:rsidRPr="00752793">
              <w:rPr>
                <w:rFonts w:ascii="GHEA Grapalat" w:hAnsi="GHEA Grapalat" w:cstheme="minorBidi"/>
              </w:rPr>
              <w:t>ՀՀ 2026 թվականի պետական բյուջեով սահմանված ծրագրերի միջոցառումները կատարող հանրային իշխանության մարմիններ</w:t>
            </w:r>
            <w:r w:rsidRPr="00752793">
              <w:rPr>
                <w:rFonts w:ascii="GHEA Grapalat" w:hAnsi="GHEA Grapalat" w:cstheme="minorBidi"/>
                <w:lang w:val="en-GB"/>
              </w:rPr>
              <w:t xml:space="preserve"> և </w:t>
            </w:r>
            <w:r w:rsidRPr="00752793">
              <w:rPr>
                <w:rFonts w:ascii="GHEA Grapalat" w:hAnsi="GHEA Grapalat" w:cstheme="minorBidi"/>
              </w:rPr>
              <w:t>ՀՀ հիմնադրած՝ պետական գործառույթներով օժտված իրավաբանական անձինք</w:t>
            </w:r>
          </w:p>
        </w:tc>
        <w:tc>
          <w:tcPr>
            <w:tcW w:w="2412" w:type="dxa"/>
            <w:tcBorders>
              <w:bottom w:val="single" w:sz="4" w:space="0" w:color="auto"/>
            </w:tcBorders>
          </w:tcPr>
          <w:p w14:paraId="2E4B9943" w14:textId="77777777" w:rsidR="0033452E" w:rsidRPr="00752793" w:rsidRDefault="0033452E" w:rsidP="00866885">
            <w:pPr>
              <w:ind w:firstLine="0"/>
              <w:jc w:val="left"/>
              <w:rPr>
                <w:rFonts w:ascii="GHEA Grapalat" w:hAnsi="GHEA Grapalat" w:cstheme="minorBidi"/>
                <w:sz w:val="24"/>
                <w:szCs w:val="24"/>
              </w:rPr>
            </w:pPr>
            <w:r w:rsidRPr="00752793">
              <w:rPr>
                <w:rFonts w:ascii="GHEA Grapalat" w:hAnsi="GHEA Grapalat" w:cstheme="minorBidi"/>
              </w:rPr>
              <w:t>ՀՀ 2026թ. պետական բյուջեի կատարում</w:t>
            </w:r>
          </w:p>
        </w:tc>
        <w:tc>
          <w:tcPr>
            <w:tcW w:w="2268" w:type="dxa"/>
            <w:tcBorders>
              <w:bottom w:val="single" w:sz="4" w:space="0" w:color="auto"/>
            </w:tcBorders>
          </w:tcPr>
          <w:p w14:paraId="25436C4B" w14:textId="77777777" w:rsidR="0033452E" w:rsidRPr="00752793" w:rsidRDefault="0033452E" w:rsidP="00866885">
            <w:pPr>
              <w:ind w:firstLine="0"/>
              <w:jc w:val="left"/>
              <w:rPr>
                <w:rFonts w:ascii="GHEA Grapalat" w:hAnsi="GHEA Grapalat" w:cstheme="minorBidi"/>
                <w:sz w:val="24"/>
                <w:szCs w:val="24"/>
              </w:rPr>
            </w:pPr>
            <w:r w:rsidRPr="00752793">
              <w:rPr>
                <w:rFonts w:ascii="GHEA Grapalat" w:hAnsi="GHEA Grapalat" w:cstheme="minorBidi"/>
              </w:rPr>
              <w:t>Ֆինանսական հաշվեքննություն</w:t>
            </w:r>
            <w:r w:rsidRPr="00752793">
              <w:rPr>
                <w:rFonts w:ascii="GHEA Grapalat" w:hAnsi="GHEA Grapalat" w:cstheme="minorBidi"/>
                <w:vertAlign w:val="superscript"/>
              </w:rPr>
              <w:footnoteReference w:id="10"/>
            </w:r>
          </w:p>
        </w:tc>
        <w:tc>
          <w:tcPr>
            <w:tcW w:w="2693" w:type="dxa"/>
            <w:tcBorders>
              <w:bottom w:val="single" w:sz="4" w:space="0" w:color="auto"/>
            </w:tcBorders>
          </w:tcPr>
          <w:p w14:paraId="269E41A1" w14:textId="32C129AE" w:rsidR="0033452E" w:rsidRPr="00752793" w:rsidRDefault="0033452E" w:rsidP="00866885">
            <w:pPr>
              <w:ind w:firstLine="0"/>
              <w:jc w:val="left"/>
              <w:rPr>
                <w:rFonts w:ascii="GHEA Grapalat" w:hAnsi="GHEA Grapalat" w:cstheme="minorBidi"/>
                <w:sz w:val="24"/>
                <w:szCs w:val="24"/>
              </w:rPr>
            </w:pPr>
            <w:r w:rsidRPr="00752793">
              <w:rPr>
                <w:rFonts w:ascii="GHEA Grapalat" w:hAnsi="GHEA Grapalat" w:cstheme="minorBidi"/>
              </w:rPr>
              <w:t>Ֆինանսական և համապատասխա</w:t>
            </w:r>
            <w:r w:rsidR="00114E4D" w:rsidRPr="00752793">
              <w:rPr>
                <w:rFonts w:ascii="GHEA Grapalat" w:hAnsi="GHEA Grapalat" w:cstheme="minorBidi"/>
                <w:sz w:val="24"/>
                <w:szCs w:val="24"/>
              </w:rPr>
              <w:t>-</w:t>
            </w:r>
            <w:r w:rsidRPr="00752793">
              <w:rPr>
                <w:rFonts w:ascii="GHEA Grapalat" w:hAnsi="GHEA Grapalat" w:cstheme="minorBidi"/>
              </w:rPr>
              <w:t>նության հաշվեքննության վարչություն</w:t>
            </w:r>
          </w:p>
        </w:tc>
        <w:tc>
          <w:tcPr>
            <w:tcW w:w="1843" w:type="dxa"/>
            <w:tcBorders>
              <w:bottom w:val="single" w:sz="4" w:space="0" w:color="auto"/>
            </w:tcBorders>
          </w:tcPr>
          <w:p w14:paraId="204882CD" w14:textId="77777777" w:rsidR="0033452E" w:rsidRPr="00752793" w:rsidRDefault="0033452E" w:rsidP="00866885">
            <w:pPr>
              <w:ind w:firstLine="0"/>
              <w:jc w:val="left"/>
              <w:rPr>
                <w:rFonts w:ascii="GHEA Grapalat" w:hAnsi="GHEA Grapalat" w:cstheme="minorBidi"/>
                <w:sz w:val="24"/>
                <w:szCs w:val="24"/>
              </w:rPr>
            </w:pPr>
            <w:r w:rsidRPr="00752793">
              <w:rPr>
                <w:rFonts w:ascii="GHEA Grapalat" w:hAnsi="GHEA Grapalat" w:cstheme="minorBidi"/>
              </w:rPr>
              <w:t>2026-2027թթ.</w:t>
            </w:r>
          </w:p>
        </w:tc>
      </w:tr>
      <w:bookmarkEnd w:id="4"/>
      <w:tr w:rsidR="0033452E" w:rsidRPr="00752793" w14:paraId="7643ADEE" w14:textId="77777777" w:rsidTr="00866885">
        <w:trPr>
          <w:trHeight w:val="181"/>
          <w:tblHeader/>
        </w:trPr>
        <w:tc>
          <w:tcPr>
            <w:tcW w:w="14034" w:type="dxa"/>
            <w:gridSpan w:val="6"/>
            <w:tcBorders>
              <w:left w:val="nil"/>
              <w:right w:val="nil"/>
            </w:tcBorders>
            <w:shd w:val="clear" w:color="auto" w:fill="auto"/>
          </w:tcPr>
          <w:p w14:paraId="505FF8AF" w14:textId="77777777" w:rsidR="0033452E" w:rsidRPr="00752793" w:rsidRDefault="0033452E" w:rsidP="00866885">
            <w:pPr>
              <w:keepNext/>
              <w:keepLines/>
              <w:spacing w:before="480" w:after="360"/>
              <w:ind w:firstLine="0"/>
              <w:jc w:val="left"/>
              <w:rPr>
                <w:rFonts w:ascii="GHEA Grapalat" w:hAnsi="GHEA Grapalat"/>
                <w:b/>
                <w:bCs/>
                <w:sz w:val="24"/>
                <w:szCs w:val="24"/>
                <w:lang w:val="en-US"/>
              </w:rPr>
            </w:pPr>
            <w:r w:rsidRPr="00752793">
              <w:rPr>
                <w:rFonts w:ascii="GHEA Grapalat" w:hAnsi="GHEA Grapalat"/>
                <w:b/>
                <w:bCs/>
                <w:color w:val="806000" w:themeColor="accent4" w:themeShade="80"/>
                <w:lang w:val="en-US"/>
              </w:rPr>
              <w:lastRenderedPageBreak/>
              <w:t>1-ԻՆ ԲԱԺԻՆ - ԹԵՄԱՏԻԿ ՀԱՇՎԵՔՆՆՈՒԹՅՈՒՆՆԵՐ</w:t>
            </w:r>
          </w:p>
        </w:tc>
      </w:tr>
      <w:tr w:rsidR="00BA3448" w:rsidRPr="00752793" w14:paraId="63F46BF3" w14:textId="77777777" w:rsidTr="00866885">
        <w:trPr>
          <w:trHeight w:val="181"/>
          <w:tblHeader/>
        </w:trPr>
        <w:tc>
          <w:tcPr>
            <w:tcW w:w="566" w:type="dxa"/>
            <w:shd w:val="clear" w:color="auto" w:fill="D9E2F3" w:themeFill="accent5" w:themeFillTint="33"/>
            <w:vAlign w:val="center"/>
          </w:tcPr>
          <w:p w14:paraId="41562168" w14:textId="6661E73D" w:rsidR="0033452E" w:rsidRPr="00752793" w:rsidRDefault="00BA3448" w:rsidP="00866885">
            <w:pPr>
              <w:keepNext/>
              <w:keepLines/>
              <w:spacing w:line="240" w:lineRule="auto"/>
              <w:ind w:firstLine="0"/>
              <w:jc w:val="center"/>
              <w:rPr>
                <w:rFonts w:ascii="GHEA Grapalat" w:hAnsi="GHEA Grapalat"/>
                <w:sz w:val="24"/>
                <w:szCs w:val="24"/>
              </w:rPr>
            </w:pPr>
            <w:r w:rsidRPr="00752793">
              <w:rPr>
                <w:rFonts w:ascii="GHEA Grapalat" w:hAnsi="GHEA Grapalat" w:cstheme="minorBidi"/>
                <w:b/>
                <w:bCs/>
                <w:sz w:val="24"/>
                <w:szCs w:val="24"/>
              </w:rPr>
              <w:t>N</w:t>
            </w:r>
          </w:p>
        </w:tc>
        <w:tc>
          <w:tcPr>
            <w:tcW w:w="4252" w:type="dxa"/>
            <w:shd w:val="clear" w:color="auto" w:fill="D9E2F3" w:themeFill="accent5" w:themeFillTint="33"/>
            <w:vAlign w:val="center"/>
          </w:tcPr>
          <w:p w14:paraId="204C6521" w14:textId="5D25352D" w:rsidR="0033452E" w:rsidRPr="00752793" w:rsidRDefault="00BA3448" w:rsidP="00866885">
            <w:pPr>
              <w:keepNext/>
              <w:keepLines/>
              <w:ind w:firstLine="39"/>
              <w:jc w:val="center"/>
              <w:rPr>
                <w:rFonts w:ascii="GHEA Grapalat" w:hAnsi="GHEA Grapalat"/>
                <w:sz w:val="24"/>
                <w:szCs w:val="24"/>
              </w:rPr>
            </w:pPr>
            <w:r w:rsidRPr="00752793">
              <w:rPr>
                <w:rFonts w:ascii="GHEA Grapalat" w:hAnsi="GHEA Grapalat" w:cstheme="minorBidi"/>
                <w:b/>
                <w:bCs/>
                <w:sz w:val="24"/>
                <w:szCs w:val="24"/>
              </w:rPr>
              <w:t>ՕԲՅԵԿՏԸ</w:t>
            </w:r>
          </w:p>
        </w:tc>
        <w:tc>
          <w:tcPr>
            <w:tcW w:w="2412" w:type="dxa"/>
            <w:shd w:val="clear" w:color="auto" w:fill="D9E2F3" w:themeFill="accent5" w:themeFillTint="33"/>
            <w:vAlign w:val="center"/>
          </w:tcPr>
          <w:p w14:paraId="2DD06E5E" w14:textId="77777777" w:rsidR="0033452E" w:rsidRPr="00752793" w:rsidRDefault="0033452E" w:rsidP="00866885">
            <w:pPr>
              <w:keepNext/>
              <w:keepLines/>
              <w:ind w:firstLine="39"/>
              <w:jc w:val="center"/>
              <w:rPr>
                <w:rFonts w:ascii="GHEA Grapalat" w:hAnsi="GHEA Grapalat" w:cstheme="minorBidi"/>
                <w:b/>
                <w:bCs/>
                <w:sz w:val="24"/>
                <w:szCs w:val="24"/>
              </w:rPr>
            </w:pPr>
            <w:r w:rsidRPr="00752793">
              <w:rPr>
                <w:rFonts w:ascii="GHEA Grapalat" w:hAnsi="GHEA Grapalat" w:cstheme="minorBidi"/>
                <w:b/>
                <w:bCs/>
              </w:rPr>
              <w:t>ԱՌԱՐԿԱՆ</w:t>
            </w:r>
          </w:p>
        </w:tc>
        <w:tc>
          <w:tcPr>
            <w:tcW w:w="2268" w:type="dxa"/>
            <w:shd w:val="clear" w:color="auto" w:fill="D9E2F3" w:themeFill="accent5" w:themeFillTint="33"/>
            <w:vAlign w:val="center"/>
          </w:tcPr>
          <w:p w14:paraId="3026DBA6" w14:textId="77777777" w:rsidR="0033452E" w:rsidRPr="00752793" w:rsidRDefault="0033452E" w:rsidP="00866885">
            <w:pPr>
              <w:keepNext/>
              <w:keepLines/>
              <w:ind w:firstLine="39"/>
              <w:jc w:val="center"/>
              <w:rPr>
                <w:rFonts w:ascii="GHEA Grapalat" w:hAnsi="GHEA Grapalat" w:cstheme="minorBidi"/>
                <w:b/>
                <w:bCs/>
                <w:sz w:val="24"/>
                <w:szCs w:val="24"/>
              </w:rPr>
            </w:pPr>
            <w:r w:rsidRPr="00752793">
              <w:rPr>
                <w:rFonts w:ascii="GHEA Grapalat" w:hAnsi="GHEA Grapalat" w:cstheme="minorBidi"/>
                <w:b/>
                <w:bCs/>
              </w:rPr>
              <w:t>ՏԵՍԱԿԸ</w:t>
            </w:r>
          </w:p>
        </w:tc>
        <w:tc>
          <w:tcPr>
            <w:tcW w:w="2693" w:type="dxa"/>
            <w:shd w:val="clear" w:color="auto" w:fill="D9E2F3" w:themeFill="accent5" w:themeFillTint="33"/>
            <w:vAlign w:val="center"/>
          </w:tcPr>
          <w:p w14:paraId="5DC53E6D" w14:textId="77777777" w:rsidR="0033452E" w:rsidRPr="00752793" w:rsidRDefault="0033452E" w:rsidP="00866885">
            <w:pPr>
              <w:keepNext/>
              <w:keepLines/>
              <w:ind w:firstLine="39"/>
              <w:jc w:val="center"/>
              <w:rPr>
                <w:rFonts w:ascii="GHEA Grapalat" w:hAnsi="GHEA Grapalat" w:cstheme="minorBidi"/>
                <w:b/>
                <w:bCs/>
                <w:sz w:val="24"/>
                <w:szCs w:val="24"/>
              </w:rPr>
            </w:pPr>
            <w:r w:rsidRPr="00752793">
              <w:rPr>
                <w:rFonts w:ascii="GHEA Grapalat" w:hAnsi="GHEA Grapalat" w:cstheme="minorBidi"/>
                <w:b/>
                <w:bCs/>
              </w:rPr>
              <w:t>ՊԱՏԱՍԽԱՆԱՏՈՒ ՍՏՈՐԱԲԱԺԱՆՈՒՄԸ</w:t>
            </w:r>
          </w:p>
        </w:tc>
        <w:tc>
          <w:tcPr>
            <w:tcW w:w="1843" w:type="dxa"/>
            <w:shd w:val="clear" w:color="auto" w:fill="D9E2F3" w:themeFill="accent5" w:themeFillTint="33"/>
            <w:vAlign w:val="center"/>
          </w:tcPr>
          <w:p w14:paraId="72F8D49B" w14:textId="77777777" w:rsidR="0033452E" w:rsidRPr="00752793" w:rsidRDefault="0033452E" w:rsidP="00866885">
            <w:pPr>
              <w:keepNext/>
              <w:keepLines/>
              <w:ind w:firstLine="39"/>
              <w:jc w:val="center"/>
              <w:rPr>
                <w:rFonts w:ascii="GHEA Grapalat" w:hAnsi="GHEA Grapalat" w:cstheme="minorBidi"/>
                <w:b/>
                <w:bCs/>
                <w:sz w:val="24"/>
                <w:szCs w:val="24"/>
              </w:rPr>
            </w:pPr>
            <w:r w:rsidRPr="00752793">
              <w:rPr>
                <w:rFonts w:ascii="GHEA Grapalat" w:hAnsi="GHEA Grapalat" w:cstheme="minorBidi"/>
                <w:b/>
                <w:bCs/>
              </w:rPr>
              <w:t>ԻՐԱԿԱՆԱՑ-ՄԱՆ ԺԱՄԿԵՏԸ</w:t>
            </w:r>
          </w:p>
        </w:tc>
      </w:tr>
      <w:tr w:rsidR="00BA3448" w:rsidRPr="00752793" w14:paraId="1CA781DB" w14:textId="77777777" w:rsidTr="009A1671">
        <w:trPr>
          <w:trHeight w:val="2036"/>
        </w:trPr>
        <w:tc>
          <w:tcPr>
            <w:tcW w:w="566" w:type="dxa"/>
            <w:tcBorders>
              <w:bottom w:val="single" w:sz="4" w:space="0" w:color="auto"/>
            </w:tcBorders>
          </w:tcPr>
          <w:p w14:paraId="7A0AC479" w14:textId="0E9CB489" w:rsidR="00BA3448" w:rsidRPr="00752793" w:rsidRDefault="00BA3448" w:rsidP="00866885">
            <w:pPr>
              <w:pStyle w:val="ListParagraph"/>
              <w:numPr>
                <w:ilvl w:val="0"/>
                <w:numId w:val="3"/>
              </w:numPr>
              <w:ind w:left="0" w:firstLine="0"/>
              <w:rPr>
                <w:rFonts w:ascii="GHEA Grapalat" w:eastAsia="Times New Roman" w:hAnsi="GHEA Grapalat"/>
                <w:sz w:val="24"/>
                <w:szCs w:val="24"/>
              </w:rPr>
            </w:pPr>
            <w:r w:rsidRPr="00752793">
              <w:rPr>
                <w:rFonts w:ascii="GHEA Grapalat" w:eastAsiaTheme="minorHAnsi" w:hAnsi="GHEA Grapalat"/>
                <w:sz w:val="24"/>
                <w:szCs w:val="24"/>
              </w:rPr>
              <w:t>1</w:t>
            </w:r>
          </w:p>
        </w:tc>
        <w:tc>
          <w:tcPr>
            <w:tcW w:w="4252" w:type="dxa"/>
          </w:tcPr>
          <w:p w14:paraId="0A205AE2" w14:textId="77777777" w:rsidR="00BA3448" w:rsidRPr="00752793" w:rsidRDefault="00BA3448" w:rsidP="00866885">
            <w:pPr>
              <w:ind w:firstLine="39"/>
              <w:jc w:val="left"/>
              <w:rPr>
                <w:rFonts w:ascii="GHEA Grapalat" w:hAnsi="GHEA Grapalat"/>
                <w:sz w:val="24"/>
                <w:szCs w:val="24"/>
                <w:lang w:val="en-GB"/>
              </w:rPr>
            </w:pPr>
            <w:r w:rsidRPr="00752793">
              <w:rPr>
                <w:rFonts w:ascii="GHEA Grapalat" w:hAnsi="GHEA Grapalat" w:cstheme="minorBidi"/>
                <w:lang w:val="en-GB"/>
              </w:rPr>
              <w:t xml:space="preserve">ՀՀ առողջապահության նախարարություն, ՀՀ </w:t>
            </w:r>
            <w:hyperlink r:id="rId17" w:history="1">
              <w:r w:rsidRPr="00752793">
                <w:rPr>
                  <w:rFonts w:cs="Calibri"/>
                  <w:lang w:val="en-GB"/>
                </w:rPr>
                <w:t> </w:t>
              </w:r>
              <w:r w:rsidRPr="00752793">
                <w:rPr>
                  <w:rFonts w:ascii="GHEA Grapalat" w:hAnsi="GHEA Grapalat" w:cstheme="minorBidi"/>
                  <w:lang w:val="en-GB"/>
                </w:rPr>
                <w:t>կրթության, գիտության, մշակույթի և սպորտի նախարարություն</w:t>
              </w:r>
            </w:hyperlink>
            <w:r w:rsidRPr="00752793">
              <w:rPr>
                <w:rFonts w:ascii="GHEA Grapalat" w:hAnsi="GHEA Grapalat" w:cstheme="minorBidi"/>
                <w:lang w:val="en-GB"/>
              </w:rPr>
              <w:t>, ՀՀ աշխատանքի և սոցիալական հարցերի նախարարություն</w:t>
            </w:r>
          </w:p>
        </w:tc>
        <w:tc>
          <w:tcPr>
            <w:tcW w:w="2412" w:type="dxa"/>
          </w:tcPr>
          <w:p w14:paraId="164B4C92" w14:textId="497D8453" w:rsidR="00BA3448" w:rsidRPr="00752793" w:rsidRDefault="00BA3448" w:rsidP="00866885">
            <w:pPr>
              <w:ind w:firstLine="39"/>
              <w:jc w:val="left"/>
              <w:rPr>
                <w:rFonts w:ascii="GHEA Grapalat" w:hAnsi="GHEA Grapalat" w:cstheme="minorBidi"/>
                <w:sz w:val="24"/>
                <w:szCs w:val="24"/>
                <w:lang w:val="en-GB"/>
              </w:rPr>
            </w:pPr>
            <w:r w:rsidRPr="00752793">
              <w:rPr>
                <w:rFonts w:ascii="GHEA Grapalat" w:hAnsi="GHEA Grapalat" w:cstheme="minorBidi"/>
                <w:lang w:val="en-GB"/>
              </w:rPr>
              <w:t>Առողջապահութ</w:t>
            </w:r>
            <w:r w:rsidRPr="00752793">
              <w:rPr>
                <w:rFonts w:ascii="GHEA Grapalat" w:hAnsi="GHEA Grapalat" w:cstheme="minorBidi"/>
                <w:sz w:val="24"/>
                <w:szCs w:val="24"/>
                <w:lang w:val="en-GB"/>
              </w:rPr>
              <w:softHyphen/>
            </w:r>
            <w:r w:rsidRPr="00752793">
              <w:rPr>
                <w:rFonts w:ascii="GHEA Grapalat" w:hAnsi="GHEA Grapalat" w:cstheme="minorBidi"/>
                <w:lang w:val="en-GB"/>
              </w:rPr>
              <w:t>յան բնագավառի մասնագիտական կադրային ներուժի տարածքային զարգացման համաչափություն</w:t>
            </w:r>
          </w:p>
        </w:tc>
        <w:tc>
          <w:tcPr>
            <w:tcW w:w="2268" w:type="dxa"/>
          </w:tcPr>
          <w:p w14:paraId="61C546EB" w14:textId="77777777" w:rsidR="00BA3448" w:rsidRPr="00752793" w:rsidRDefault="00BA3448" w:rsidP="00866885">
            <w:pPr>
              <w:ind w:firstLine="39"/>
              <w:jc w:val="left"/>
              <w:rPr>
                <w:rFonts w:ascii="GHEA Grapalat" w:hAnsi="GHEA Grapalat" w:cstheme="minorBidi"/>
                <w:sz w:val="24"/>
                <w:szCs w:val="24"/>
                <w:lang w:val="en-GB"/>
              </w:rPr>
            </w:pPr>
            <w:r w:rsidRPr="00752793">
              <w:rPr>
                <w:rFonts w:ascii="GHEA Grapalat" w:hAnsi="GHEA Grapalat" w:cstheme="minorBidi"/>
                <w:lang w:val="en-GB"/>
              </w:rPr>
              <w:t>Կատարողականի հաշվեքննություն</w:t>
            </w:r>
            <w:r w:rsidRPr="00443956">
              <w:rPr>
                <w:rFonts w:ascii="GHEA Grapalat" w:hAnsi="GHEA Grapalat" w:cstheme="minorBidi"/>
                <w:vertAlign w:val="superscript"/>
                <w:lang w:val="en-GB"/>
              </w:rPr>
              <w:footnoteReference w:id="11"/>
            </w:r>
          </w:p>
        </w:tc>
        <w:tc>
          <w:tcPr>
            <w:tcW w:w="2693" w:type="dxa"/>
          </w:tcPr>
          <w:p w14:paraId="683E82F4" w14:textId="77777777" w:rsidR="00BA3448" w:rsidRPr="00752793" w:rsidRDefault="00BA3448" w:rsidP="00866885">
            <w:pPr>
              <w:ind w:firstLine="39"/>
              <w:jc w:val="left"/>
              <w:rPr>
                <w:rFonts w:ascii="GHEA Grapalat" w:hAnsi="GHEA Grapalat" w:cstheme="minorBidi"/>
                <w:sz w:val="24"/>
                <w:szCs w:val="24"/>
                <w:lang w:val="en-GB"/>
              </w:rPr>
            </w:pPr>
            <w:r w:rsidRPr="00752793">
              <w:rPr>
                <w:rFonts w:ascii="GHEA Grapalat" w:hAnsi="GHEA Grapalat" w:cstheme="minorBidi"/>
                <w:lang w:val="en-GB"/>
              </w:rPr>
              <w:t>Կատարողականի հաշվեքննության վարչություն</w:t>
            </w:r>
          </w:p>
        </w:tc>
        <w:tc>
          <w:tcPr>
            <w:tcW w:w="1843" w:type="dxa"/>
          </w:tcPr>
          <w:p w14:paraId="4132C5D3" w14:textId="77777777" w:rsidR="00BA3448" w:rsidRPr="00752793" w:rsidRDefault="00BA3448" w:rsidP="00866885">
            <w:pPr>
              <w:ind w:firstLine="39"/>
              <w:jc w:val="left"/>
              <w:rPr>
                <w:rFonts w:ascii="GHEA Grapalat" w:hAnsi="GHEA Grapalat" w:cstheme="minorBidi"/>
                <w:sz w:val="24"/>
                <w:szCs w:val="24"/>
                <w:lang w:val="en-GB"/>
              </w:rPr>
            </w:pPr>
            <w:r w:rsidRPr="00752793">
              <w:rPr>
                <w:rFonts w:ascii="GHEA Grapalat" w:hAnsi="GHEA Grapalat" w:cstheme="minorBidi"/>
                <w:lang w:val="en-GB"/>
              </w:rPr>
              <w:t>2025-2026թթ</w:t>
            </w:r>
            <w:r w:rsidRPr="00752793">
              <w:rPr>
                <w:rFonts w:ascii="Cambria Math" w:hAnsi="Cambria Math" w:cs="Cambria Math"/>
                <w:lang w:val="en-GB"/>
              </w:rPr>
              <w:t>․</w:t>
            </w:r>
          </w:p>
        </w:tc>
      </w:tr>
      <w:tr w:rsidR="00BA3448" w:rsidRPr="00752793" w14:paraId="2F402F16" w14:textId="77777777" w:rsidTr="00866885">
        <w:trPr>
          <w:trHeight w:val="70"/>
        </w:trPr>
        <w:tc>
          <w:tcPr>
            <w:tcW w:w="566" w:type="dxa"/>
          </w:tcPr>
          <w:p w14:paraId="393191CB" w14:textId="77777777" w:rsidR="0033452E" w:rsidRPr="00752793" w:rsidRDefault="0033452E" w:rsidP="00866885">
            <w:pPr>
              <w:pStyle w:val="ListParagraph"/>
              <w:numPr>
                <w:ilvl w:val="0"/>
                <w:numId w:val="3"/>
              </w:numPr>
              <w:ind w:left="0" w:firstLine="0"/>
              <w:rPr>
                <w:rFonts w:ascii="GHEA Grapalat" w:eastAsiaTheme="minorHAnsi" w:hAnsi="GHEA Grapalat"/>
                <w:sz w:val="24"/>
                <w:szCs w:val="24"/>
              </w:rPr>
            </w:pPr>
          </w:p>
        </w:tc>
        <w:tc>
          <w:tcPr>
            <w:tcW w:w="4252" w:type="dxa"/>
          </w:tcPr>
          <w:p w14:paraId="3DB2F43C" w14:textId="77777777" w:rsidR="0033452E" w:rsidRPr="00752793" w:rsidRDefault="0033452E" w:rsidP="00866885">
            <w:pPr>
              <w:ind w:firstLine="39"/>
              <w:jc w:val="left"/>
              <w:rPr>
                <w:rFonts w:ascii="GHEA Grapalat" w:hAnsi="GHEA Grapalat" w:cstheme="minorBidi"/>
                <w:sz w:val="24"/>
                <w:szCs w:val="24"/>
                <w:lang w:val="en-GB"/>
              </w:rPr>
            </w:pPr>
            <w:r w:rsidRPr="00752793">
              <w:rPr>
                <w:rFonts w:ascii="GHEA Grapalat" w:hAnsi="GHEA Grapalat" w:cstheme="minorBidi"/>
                <w:lang w:val="en-GB"/>
              </w:rPr>
              <w:t>ՀՀ էկոնոմիկայի նախարարություն</w:t>
            </w:r>
          </w:p>
        </w:tc>
        <w:tc>
          <w:tcPr>
            <w:tcW w:w="2412" w:type="dxa"/>
          </w:tcPr>
          <w:p w14:paraId="15507352" w14:textId="77777777" w:rsidR="0033452E" w:rsidRPr="00752793" w:rsidRDefault="0033452E" w:rsidP="00866885">
            <w:pPr>
              <w:ind w:firstLine="39"/>
              <w:jc w:val="left"/>
              <w:rPr>
                <w:rFonts w:ascii="GHEA Grapalat" w:hAnsi="GHEA Grapalat" w:cstheme="minorBidi"/>
                <w:sz w:val="24"/>
                <w:szCs w:val="24"/>
                <w:lang w:val="en-GB"/>
              </w:rPr>
            </w:pPr>
            <w:r w:rsidRPr="00752793">
              <w:rPr>
                <w:rFonts w:ascii="GHEA Grapalat" w:hAnsi="GHEA Grapalat" w:cstheme="minorBidi"/>
                <w:lang w:val="en-GB"/>
              </w:rPr>
              <w:t>Հողերի կոնսոլիդացումը</w:t>
            </w:r>
            <w:r w:rsidRPr="00752793">
              <w:rPr>
                <w:rFonts w:ascii="GHEA Grapalat" w:hAnsi="GHEA Grapalat" w:cstheme="minorBidi"/>
                <w:lang w:val="en-GB"/>
              </w:rPr>
              <w:br/>
            </w:r>
          </w:p>
        </w:tc>
        <w:tc>
          <w:tcPr>
            <w:tcW w:w="2268" w:type="dxa"/>
          </w:tcPr>
          <w:p w14:paraId="4A64DC3E" w14:textId="77777777" w:rsidR="0033452E" w:rsidRPr="00752793" w:rsidRDefault="0033452E" w:rsidP="00866885">
            <w:pPr>
              <w:ind w:firstLine="39"/>
              <w:jc w:val="left"/>
              <w:rPr>
                <w:rFonts w:ascii="GHEA Grapalat" w:hAnsi="GHEA Grapalat" w:cstheme="minorBidi"/>
                <w:sz w:val="24"/>
                <w:szCs w:val="24"/>
                <w:lang w:val="en-GB"/>
              </w:rPr>
            </w:pPr>
            <w:r w:rsidRPr="00752793">
              <w:rPr>
                <w:rFonts w:ascii="GHEA Grapalat" w:hAnsi="GHEA Grapalat" w:cstheme="minorBidi"/>
                <w:lang w:val="en-GB"/>
              </w:rPr>
              <w:t>Կատարողականի հաշվեքննություն</w:t>
            </w:r>
          </w:p>
        </w:tc>
        <w:tc>
          <w:tcPr>
            <w:tcW w:w="2693" w:type="dxa"/>
          </w:tcPr>
          <w:p w14:paraId="1A620CFE" w14:textId="77777777" w:rsidR="0033452E" w:rsidRPr="00752793" w:rsidRDefault="0033452E" w:rsidP="00866885">
            <w:pPr>
              <w:ind w:firstLine="39"/>
              <w:jc w:val="left"/>
              <w:rPr>
                <w:rFonts w:ascii="GHEA Grapalat" w:hAnsi="GHEA Grapalat" w:cstheme="minorBidi"/>
                <w:sz w:val="24"/>
                <w:szCs w:val="24"/>
                <w:lang w:val="en-GB"/>
              </w:rPr>
            </w:pPr>
            <w:r w:rsidRPr="00752793">
              <w:rPr>
                <w:rFonts w:ascii="GHEA Grapalat" w:hAnsi="GHEA Grapalat" w:cstheme="minorBidi"/>
                <w:lang w:val="en-GB"/>
              </w:rPr>
              <w:t>Կատարողականի հաշվեքննության վարչություն</w:t>
            </w:r>
          </w:p>
        </w:tc>
        <w:tc>
          <w:tcPr>
            <w:tcW w:w="1843" w:type="dxa"/>
          </w:tcPr>
          <w:p w14:paraId="3E993747" w14:textId="77777777" w:rsidR="0033452E" w:rsidRPr="00752793" w:rsidRDefault="0033452E" w:rsidP="00866885">
            <w:pPr>
              <w:ind w:firstLine="39"/>
              <w:jc w:val="left"/>
              <w:rPr>
                <w:rFonts w:ascii="GHEA Grapalat" w:hAnsi="GHEA Grapalat" w:cstheme="minorBidi"/>
                <w:sz w:val="24"/>
                <w:szCs w:val="24"/>
                <w:lang w:val="en-GB"/>
              </w:rPr>
            </w:pPr>
            <w:r w:rsidRPr="00752793">
              <w:rPr>
                <w:rFonts w:ascii="GHEA Grapalat" w:hAnsi="GHEA Grapalat" w:cstheme="minorBidi"/>
                <w:lang w:val="en-GB"/>
              </w:rPr>
              <w:t>2025-2026թթ</w:t>
            </w:r>
            <w:r w:rsidRPr="00752793">
              <w:rPr>
                <w:rFonts w:ascii="Cambria Math" w:hAnsi="Cambria Math" w:cs="Cambria Math"/>
                <w:lang w:val="en-GB"/>
              </w:rPr>
              <w:t>․</w:t>
            </w:r>
          </w:p>
        </w:tc>
      </w:tr>
      <w:tr w:rsidR="00BA3448" w:rsidRPr="00752793" w14:paraId="1D7741EA" w14:textId="77777777" w:rsidTr="00866885">
        <w:trPr>
          <w:trHeight w:val="70"/>
        </w:trPr>
        <w:tc>
          <w:tcPr>
            <w:tcW w:w="566" w:type="dxa"/>
          </w:tcPr>
          <w:p w14:paraId="3B1D1C4B" w14:textId="77777777" w:rsidR="0033452E" w:rsidRPr="00752793" w:rsidRDefault="0033452E" w:rsidP="00866885">
            <w:pPr>
              <w:pStyle w:val="ListParagraph"/>
              <w:numPr>
                <w:ilvl w:val="0"/>
                <w:numId w:val="3"/>
              </w:numPr>
              <w:ind w:left="0" w:firstLine="0"/>
              <w:rPr>
                <w:rFonts w:ascii="GHEA Grapalat" w:eastAsiaTheme="minorHAnsi" w:hAnsi="GHEA Grapalat"/>
                <w:sz w:val="24"/>
                <w:szCs w:val="24"/>
              </w:rPr>
            </w:pPr>
          </w:p>
        </w:tc>
        <w:tc>
          <w:tcPr>
            <w:tcW w:w="4252" w:type="dxa"/>
          </w:tcPr>
          <w:p w14:paraId="66D33A04"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ՀՀ էկոնոմիկայի նախարարություն</w:t>
            </w:r>
          </w:p>
          <w:p w14:paraId="5065A450"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ՀՀ արտաքին գործերի նախարարություն</w:t>
            </w:r>
          </w:p>
        </w:tc>
        <w:tc>
          <w:tcPr>
            <w:tcW w:w="2412" w:type="dxa"/>
          </w:tcPr>
          <w:p w14:paraId="665D6A60"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Տնտեսական դի</w:t>
            </w:r>
            <w:r w:rsidRPr="00752793">
              <w:rPr>
                <w:rFonts w:ascii="GHEA Grapalat" w:hAnsi="GHEA Grapalat" w:cstheme="minorBidi"/>
                <w:lang w:val="en-GB"/>
              </w:rPr>
              <w:softHyphen/>
              <w:t>վա</w:t>
            </w:r>
            <w:r w:rsidRPr="00752793">
              <w:rPr>
                <w:rFonts w:ascii="GHEA Grapalat" w:hAnsi="GHEA Grapalat" w:cstheme="minorBidi"/>
                <w:lang w:val="en-GB"/>
              </w:rPr>
              <w:softHyphen/>
              <w:t>նագիտու</w:t>
            </w:r>
            <w:r w:rsidRPr="00752793">
              <w:rPr>
                <w:rFonts w:ascii="GHEA Grapalat" w:hAnsi="GHEA Grapalat" w:cstheme="minorBidi"/>
                <w:lang w:val="en-GB"/>
              </w:rPr>
              <w:softHyphen/>
              <w:t>թ</w:t>
            </w:r>
            <w:r w:rsidRPr="00752793">
              <w:rPr>
                <w:rFonts w:ascii="GHEA Grapalat" w:hAnsi="GHEA Grapalat" w:cstheme="minorBidi"/>
                <w:lang w:val="en-GB"/>
              </w:rPr>
              <w:softHyphen/>
              <w:t>յուն</w:t>
            </w:r>
          </w:p>
        </w:tc>
        <w:tc>
          <w:tcPr>
            <w:tcW w:w="2268" w:type="dxa"/>
          </w:tcPr>
          <w:p w14:paraId="28C6D27F"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Կատարողականի հաշվեքննություն</w:t>
            </w:r>
          </w:p>
        </w:tc>
        <w:tc>
          <w:tcPr>
            <w:tcW w:w="2693" w:type="dxa"/>
          </w:tcPr>
          <w:p w14:paraId="6E862202"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Կատարողականի հաշվեքննության վարչություն</w:t>
            </w:r>
          </w:p>
        </w:tc>
        <w:tc>
          <w:tcPr>
            <w:tcW w:w="1843" w:type="dxa"/>
          </w:tcPr>
          <w:p w14:paraId="2AD398B2"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2026-2027թթ.</w:t>
            </w:r>
          </w:p>
        </w:tc>
      </w:tr>
      <w:tr w:rsidR="00BA3448" w:rsidRPr="00752793" w14:paraId="7A22CAA4" w14:textId="77777777" w:rsidTr="009A1671">
        <w:trPr>
          <w:trHeight w:val="70"/>
        </w:trPr>
        <w:tc>
          <w:tcPr>
            <w:tcW w:w="566" w:type="dxa"/>
          </w:tcPr>
          <w:p w14:paraId="11929C64" w14:textId="77777777" w:rsidR="0033452E" w:rsidRPr="00752793" w:rsidRDefault="0033452E" w:rsidP="00866885">
            <w:pPr>
              <w:pStyle w:val="ListParagraph"/>
              <w:numPr>
                <w:ilvl w:val="0"/>
                <w:numId w:val="3"/>
              </w:numPr>
              <w:ind w:left="0" w:firstLine="0"/>
              <w:rPr>
                <w:rFonts w:ascii="GHEA Grapalat" w:eastAsiaTheme="minorHAnsi" w:hAnsi="GHEA Grapalat"/>
                <w:sz w:val="24"/>
                <w:szCs w:val="24"/>
              </w:rPr>
            </w:pPr>
          </w:p>
        </w:tc>
        <w:tc>
          <w:tcPr>
            <w:tcW w:w="4252" w:type="dxa"/>
          </w:tcPr>
          <w:p w14:paraId="4086519D"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ՀՀ ֆինանսների նախարարություն,</w:t>
            </w:r>
          </w:p>
          <w:p w14:paraId="7BF5D118"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 xml:space="preserve">ՀՀ տարածքային կառավարման և ենթակառուցվածքների նախարարություն, ՀՀ էկոնոմիկայի նախարարություն, ՀՀ  կրթության, </w:t>
            </w:r>
            <w:r w:rsidRPr="00752793">
              <w:rPr>
                <w:rFonts w:ascii="GHEA Grapalat" w:hAnsi="GHEA Grapalat" w:cstheme="minorBidi"/>
                <w:lang w:val="en-GB"/>
              </w:rPr>
              <w:lastRenderedPageBreak/>
              <w:t>գիտության, մշակույթի և սպորտի նախարարություն</w:t>
            </w:r>
          </w:p>
        </w:tc>
        <w:tc>
          <w:tcPr>
            <w:tcW w:w="2412" w:type="dxa"/>
          </w:tcPr>
          <w:p w14:paraId="2063767D"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lastRenderedPageBreak/>
              <w:t>Սուբսիդիաների տրամադրման համակարգ</w:t>
            </w:r>
          </w:p>
        </w:tc>
        <w:tc>
          <w:tcPr>
            <w:tcW w:w="2268" w:type="dxa"/>
          </w:tcPr>
          <w:p w14:paraId="22C55B20"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Կատարողականի հաշվեքննություն</w:t>
            </w:r>
          </w:p>
        </w:tc>
        <w:tc>
          <w:tcPr>
            <w:tcW w:w="2693" w:type="dxa"/>
          </w:tcPr>
          <w:p w14:paraId="08459992"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Կատարողականի հաշվեքննության վարչություն</w:t>
            </w:r>
          </w:p>
        </w:tc>
        <w:tc>
          <w:tcPr>
            <w:tcW w:w="1843" w:type="dxa"/>
          </w:tcPr>
          <w:p w14:paraId="71211954"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2026-2027թթ.</w:t>
            </w:r>
          </w:p>
        </w:tc>
      </w:tr>
      <w:tr w:rsidR="00BA3448" w:rsidRPr="00752793" w14:paraId="021232B2" w14:textId="77777777" w:rsidTr="00866885">
        <w:trPr>
          <w:trHeight w:val="70"/>
        </w:trPr>
        <w:tc>
          <w:tcPr>
            <w:tcW w:w="566" w:type="dxa"/>
          </w:tcPr>
          <w:p w14:paraId="26974148" w14:textId="77777777" w:rsidR="0033452E" w:rsidRPr="00752793" w:rsidRDefault="0033452E" w:rsidP="00866885">
            <w:pPr>
              <w:pStyle w:val="ListParagraph"/>
              <w:numPr>
                <w:ilvl w:val="0"/>
                <w:numId w:val="3"/>
              </w:numPr>
              <w:ind w:left="0" w:firstLine="0"/>
              <w:rPr>
                <w:rFonts w:ascii="GHEA Grapalat" w:eastAsiaTheme="minorHAnsi" w:hAnsi="GHEA Grapalat"/>
                <w:sz w:val="24"/>
                <w:szCs w:val="24"/>
              </w:rPr>
            </w:pPr>
          </w:p>
        </w:tc>
        <w:tc>
          <w:tcPr>
            <w:tcW w:w="4252" w:type="dxa"/>
          </w:tcPr>
          <w:p w14:paraId="13B03F20"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ՀՀ ֆինանսների նախարարություն</w:t>
            </w:r>
          </w:p>
        </w:tc>
        <w:tc>
          <w:tcPr>
            <w:tcW w:w="2412" w:type="dxa"/>
          </w:tcPr>
          <w:p w14:paraId="6B726B8A"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Բյուջետային վարկերի և երաշխիքների տրամա</w:t>
            </w:r>
            <w:r w:rsidRPr="00752793">
              <w:rPr>
                <w:rFonts w:ascii="GHEA Grapalat" w:hAnsi="GHEA Grapalat" w:cstheme="minorBidi"/>
                <w:lang w:val="en-GB"/>
              </w:rPr>
              <w:softHyphen/>
              <w:t>դրման համակարգ</w:t>
            </w:r>
          </w:p>
        </w:tc>
        <w:tc>
          <w:tcPr>
            <w:tcW w:w="2268" w:type="dxa"/>
          </w:tcPr>
          <w:p w14:paraId="1F9480D3" w14:textId="6252011C"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Համապատաս</w:t>
            </w:r>
            <w:r w:rsidR="008C366D" w:rsidRPr="00752793">
              <w:rPr>
                <w:rFonts w:ascii="GHEA Grapalat" w:hAnsi="GHEA Grapalat"/>
                <w:sz w:val="24"/>
                <w:szCs w:val="24"/>
                <w:lang w:val="en-GB"/>
              </w:rPr>
              <w:softHyphen/>
            </w:r>
            <w:r w:rsidRPr="00752793">
              <w:rPr>
                <w:rFonts w:ascii="GHEA Grapalat" w:hAnsi="GHEA Grapalat" w:cstheme="minorBidi"/>
                <w:lang w:val="en-GB"/>
              </w:rPr>
              <w:t>խանության հաշվեքննություն</w:t>
            </w:r>
            <w:r w:rsidRPr="00752793">
              <w:rPr>
                <w:rFonts w:ascii="GHEA Grapalat" w:hAnsi="GHEA Grapalat" w:cstheme="minorBidi"/>
                <w:vertAlign w:val="superscript"/>
                <w:lang w:val="en-GB"/>
              </w:rPr>
              <w:footnoteReference w:id="12"/>
            </w:r>
          </w:p>
        </w:tc>
        <w:tc>
          <w:tcPr>
            <w:tcW w:w="2693" w:type="dxa"/>
          </w:tcPr>
          <w:p w14:paraId="1F1EE384"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Ֆինանսական և համապատասխանության հաշվեքննության վարչություն</w:t>
            </w:r>
          </w:p>
        </w:tc>
        <w:tc>
          <w:tcPr>
            <w:tcW w:w="1843" w:type="dxa"/>
          </w:tcPr>
          <w:p w14:paraId="7F0AEFA7"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2026թ.</w:t>
            </w:r>
          </w:p>
        </w:tc>
      </w:tr>
      <w:tr w:rsidR="00BA3448" w:rsidRPr="00752793" w14:paraId="12A7E52A" w14:textId="77777777" w:rsidTr="00866885">
        <w:trPr>
          <w:trHeight w:val="70"/>
        </w:trPr>
        <w:tc>
          <w:tcPr>
            <w:tcW w:w="566" w:type="dxa"/>
          </w:tcPr>
          <w:p w14:paraId="404CCD5D" w14:textId="77777777" w:rsidR="0033452E" w:rsidRPr="00752793" w:rsidRDefault="0033452E" w:rsidP="00866885">
            <w:pPr>
              <w:pStyle w:val="ListParagraph"/>
              <w:numPr>
                <w:ilvl w:val="0"/>
                <w:numId w:val="3"/>
              </w:numPr>
              <w:ind w:left="0" w:firstLine="0"/>
              <w:rPr>
                <w:rFonts w:ascii="GHEA Grapalat" w:eastAsiaTheme="minorHAnsi" w:hAnsi="GHEA Grapalat"/>
                <w:sz w:val="24"/>
                <w:szCs w:val="24"/>
              </w:rPr>
            </w:pPr>
          </w:p>
        </w:tc>
        <w:tc>
          <w:tcPr>
            <w:tcW w:w="4252" w:type="dxa"/>
          </w:tcPr>
          <w:p w14:paraId="5D6F301E" w14:textId="71126A93" w:rsidR="0033452E" w:rsidRPr="00752793" w:rsidRDefault="00BE28EF" w:rsidP="00866885">
            <w:pPr>
              <w:ind w:firstLine="0"/>
              <w:jc w:val="left"/>
              <w:rPr>
                <w:rFonts w:ascii="GHEA Grapalat" w:hAnsi="GHEA Grapalat"/>
                <w:sz w:val="24"/>
                <w:szCs w:val="24"/>
                <w:lang w:val="en-GB"/>
              </w:rPr>
            </w:pPr>
            <w:r w:rsidRPr="00752793">
              <w:rPr>
                <w:rFonts w:ascii="GHEA Grapalat" w:hAnsi="GHEA Grapalat"/>
                <w:szCs w:val="24"/>
                <w:lang w:val="en-US"/>
              </w:rPr>
              <w:t xml:space="preserve">Հանրային իշխանության մարմիններ և </w:t>
            </w:r>
            <w:r w:rsidRPr="00752793">
              <w:rPr>
                <w:rFonts w:ascii="GHEA Grapalat" w:hAnsi="GHEA Grapalat"/>
                <w:szCs w:val="24"/>
              </w:rPr>
              <w:t>դրանց</w:t>
            </w:r>
            <w:r w:rsidRPr="00752793">
              <w:rPr>
                <w:rFonts w:ascii="GHEA Grapalat" w:hAnsi="GHEA Grapalat"/>
                <w:szCs w:val="24"/>
                <w:lang w:val="en-US"/>
              </w:rPr>
              <w:t xml:space="preserve"> հիմնադրած՝ պետական </w:t>
            </w:r>
            <w:r w:rsidRPr="00752793">
              <w:rPr>
                <w:rFonts w:ascii="GHEA Grapalat" w:hAnsi="GHEA Grapalat"/>
                <w:szCs w:val="24"/>
              </w:rPr>
              <w:t xml:space="preserve">և համայնքային </w:t>
            </w:r>
            <w:r w:rsidRPr="00752793">
              <w:rPr>
                <w:rFonts w:ascii="GHEA Grapalat" w:hAnsi="GHEA Grapalat"/>
                <w:szCs w:val="24"/>
                <w:lang w:val="en-US"/>
              </w:rPr>
              <w:t>գործառույթներով օժտված այլ իրավաբանական անձինք</w:t>
            </w:r>
          </w:p>
        </w:tc>
        <w:tc>
          <w:tcPr>
            <w:tcW w:w="2412" w:type="dxa"/>
          </w:tcPr>
          <w:p w14:paraId="0D95C5BE" w14:textId="25F1B28E"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Տրանսպորտային միջոցների շահագործ</w:t>
            </w:r>
            <w:r w:rsidR="008C366D" w:rsidRPr="00752793">
              <w:rPr>
                <w:rFonts w:ascii="GHEA Grapalat" w:hAnsi="GHEA Grapalat"/>
                <w:sz w:val="24"/>
                <w:szCs w:val="24"/>
                <w:lang w:val="en-GB"/>
              </w:rPr>
              <w:t>ում</w:t>
            </w:r>
          </w:p>
        </w:tc>
        <w:tc>
          <w:tcPr>
            <w:tcW w:w="2268" w:type="dxa"/>
          </w:tcPr>
          <w:p w14:paraId="45CFD181" w14:textId="4E77CA09"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Համապատաս</w:t>
            </w:r>
            <w:r w:rsidR="008C366D" w:rsidRPr="00752793">
              <w:rPr>
                <w:rFonts w:ascii="GHEA Grapalat" w:hAnsi="GHEA Grapalat"/>
                <w:sz w:val="24"/>
                <w:szCs w:val="24"/>
                <w:lang w:val="en-GB"/>
              </w:rPr>
              <w:softHyphen/>
            </w:r>
            <w:r w:rsidRPr="00752793">
              <w:rPr>
                <w:rFonts w:ascii="GHEA Grapalat" w:hAnsi="GHEA Grapalat" w:cstheme="minorBidi"/>
                <w:lang w:val="en-GB"/>
              </w:rPr>
              <w:t>խանության հաշվեքննություն</w:t>
            </w:r>
          </w:p>
        </w:tc>
        <w:tc>
          <w:tcPr>
            <w:tcW w:w="2693" w:type="dxa"/>
          </w:tcPr>
          <w:p w14:paraId="50A526A4"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Ֆինանսական և համապատասխանության հաշվեքննության վարչություն</w:t>
            </w:r>
          </w:p>
        </w:tc>
        <w:tc>
          <w:tcPr>
            <w:tcW w:w="1843" w:type="dxa"/>
          </w:tcPr>
          <w:p w14:paraId="6AC8472E" w14:textId="77777777" w:rsidR="0033452E" w:rsidRPr="00752793" w:rsidRDefault="0033452E" w:rsidP="00866885">
            <w:pPr>
              <w:ind w:firstLine="0"/>
              <w:jc w:val="left"/>
              <w:rPr>
                <w:rFonts w:ascii="GHEA Grapalat" w:hAnsi="GHEA Grapalat"/>
                <w:sz w:val="24"/>
                <w:szCs w:val="24"/>
                <w:lang w:val="en-GB"/>
              </w:rPr>
            </w:pPr>
            <w:r w:rsidRPr="00752793">
              <w:rPr>
                <w:rFonts w:ascii="GHEA Grapalat" w:hAnsi="GHEA Grapalat" w:cstheme="minorBidi"/>
                <w:lang w:val="en-GB"/>
              </w:rPr>
              <w:t>2025-2026թթ.</w:t>
            </w:r>
          </w:p>
        </w:tc>
      </w:tr>
      <w:tr w:rsidR="00BC32B6" w:rsidRPr="00752793" w14:paraId="1864B4AC" w14:textId="77777777" w:rsidTr="00DD20B5">
        <w:trPr>
          <w:trHeight w:val="70"/>
        </w:trPr>
        <w:tc>
          <w:tcPr>
            <w:tcW w:w="566" w:type="dxa"/>
          </w:tcPr>
          <w:p w14:paraId="5FB739B8" w14:textId="6E092311" w:rsidR="00BC32B6" w:rsidRPr="00483A64" w:rsidRDefault="00BC32B6" w:rsidP="00BC32B6">
            <w:pPr>
              <w:pStyle w:val="ListParagraph"/>
              <w:numPr>
                <w:ilvl w:val="0"/>
                <w:numId w:val="0"/>
              </w:numPr>
              <w:rPr>
                <w:rFonts w:ascii="GHEA Grapalat" w:eastAsiaTheme="minorHAnsi" w:hAnsi="GHEA Grapalat"/>
                <w:sz w:val="24"/>
                <w:szCs w:val="24"/>
              </w:rPr>
            </w:pPr>
            <w:r w:rsidRPr="00483A64">
              <w:rPr>
                <w:rFonts w:ascii="GHEA Grapalat" w:eastAsiaTheme="minorHAnsi" w:hAnsi="GHEA Grapalat"/>
                <w:sz w:val="24"/>
                <w:szCs w:val="24"/>
              </w:rPr>
              <w:t>7.1</w:t>
            </w:r>
          </w:p>
        </w:tc>
        <w:tc>
          <w:tcPr>
            <w:tcW w:w="4252" w:type="dxa"/>
            <w:vAlign w:val="center"/>
          </w:tcPr>
          <w:p w14:paraId="132E25E2" w14:textId="72531906" w:rsidR="00BC32B6" w:rsidRPr="00BC32B6" w:rsidRDefault="00BC32B6" w:rsidP="00BC32B6">
            <w:pPr>
              <w:ind w:firstLine="0"/>
              <w:jc w:val="left"/>
              <w:rPr>
                <w:rFonts w:ascii="GHEA Grapalat" w:hAnsi="GHEA Grapalat"/>
                <w:szCs w:val="24"/>
                <w:lang w:val="en-US"/>
              </w:rPr>
            </w:pPr>
            <w:r w:rsidRPr="006606F4">
              <w:rPr>
                <w:rFonts w:ascii="GHEA Grapalat" w:hAnsi="GHEA Grapalat"/>
                <w:szCs w:val="24"/>
                <w:lang w:val="en-US"/>
              </w:rPr>
              <w:t>ՀՀ ֆինանսների նախարարություն</w:t>
            </w:r>
          </w:p>
        </w:tc>
        <w:tc>
          <w:tcPr>
            <w:tcW w:w="2412" w:type="dxa"/>
            <w:vAlign w:val="center"/>
          </w:tcPr>
          <w:p w14:paraId="6C700100" w14:textId="37014A59" w:rsidR="00BC32B6" w:rsidRPr="00BC32B6" w:rsidRDefault="00BC32B6" w:rsidP="00BC32B6">
            <w:pPr>
              <w:ind w:firstLine="0"/>
              <w:jc w:val="left"/>
              <w:rPr>
                <w:rFonts w:ascii="GHEA Grapalat" w:hAnsi="GHEA Grapalat"/>
                <w:szCs w:val="24"/>
                <w:lang w:val="en-US"/>
              </w:rPr>
            </w:pPr>
            <w:r w:rsidRPr="006606F4">
              <w:rPr>
                <w:rFonts w:cs="Calibri"/>
                <w:szCs w:val="24"/>
                <w:lang w:val="en-US"/>
              </w:rPr>
              <w:t> </w:t>
            </w:r>
            <w:r w:rsidRPr="006606F4">
              <w:rPr>
                <w:rFonts w:ascii="GHEA Grapalat" w:hAnsi="GHEA Grapalat"/>
                <w:szCs w:val="24"/>
                <w:lang w:val="en-US"/>
              </w:rPr>
              <w:t xml:space="preserve">Պետական ֆինանսների կառավարման համակարգի բարեփոխումներ </w:t>
            </w:r>
            <w:r w:rsidR="008B7A93">
              <w:rPr>
                <w:rFonts w:ascii="GHEA Grapalat" w:hAnsi="GHEA Grapalat"/>
                <w:szCs w:val="24"/>
                <w:lang w:val="en-US"/>
              </w:rPr>
              <w:t>(</w:t>
            </w:r>
            <w:r w:rsidRPr="006606F4">
              <w:rPr>
                <w:rFonts w:ascii="GHEA Grapalat" w:hAnsi="GHEA Grapalat"/>
                <w:szCs w:val="24"/>
                <w:lang w:val="en-US"/>
              </w:rPr>
              <w:t>2019-2023թթ.</w:t>
            </w:r>
            <w:r w:rsidR="008B7A93">
              <w:rPr>
                <w:rFonts w:ascii="GHEA Grapalat" w:hAnsi="GHEA Grapalat"/>
                <w:szCs w:val="24"/>
                <w:lang w:val="en-US"/>
              </w:rPr>
              <w:t>)</w:t>
            </w:r>
          </w:p>
        </w:tc>
        <w:tc>
          <w:tcPr>
            <w:tcW w:w="2268" w:type="dxa"/>
            <w:vAlign w:val="center"/>
          </w:tcPr>
          <w:p w14:paraId="1FE35C28" w14:textId="42C912BB" w:rsidR="00BC32B6" w:rsidRPr="00BC32B6" w:rsidRDefault="00BC32B6" w:rsidP="00BC32B6">
            <w:pPr>
              <w:ind w:firstLine="0"/>
              <w:jc w:val="left"/>
              <w:rPr>
                <w:rFonts w:ascii="GHEA Grapalat" w:hAnsi="GHEA Grapalat"/>
                <w:szCs w:val="24"/>
                <w:lang w:val="en-US"/>
              </w:rPr>
            </w:pPr>
            <w:r w:rsidRPr="006606F4">
              <w:rPr>
                <w:rFonts w:ascii="GHEA Grapalat" w:hAnsi="GHEA Grapalat"/>
                <w:szCs w:val="24"/>
                <w:lang w:val="en-US"/>
              </w:rPr>
              <w:t>Համապատասխանության հաշվեքննություն</w:t>
            </w:r>
          </w:p>
        </w:tc>
        <w:tc>
          <w:tcPr>
            <w:tcW w:w="2693" w:type="dxa"/>
            <w:vAlign w:val="center"/>
          </w:tcPr>
          <w:p w14:paraId="70532772" w14:textId="36E06AF9" w:rsidR="00BC32B6" w:rsidRPr="00BC32B6" w:rsidRDefault="00BC32B6" w:rsidP="00BC32B6">
            <w:pPr>
              <w:ind w:firstLine="0"/>
              <w:jc w:val="left"/>
              <w:rPr>
                <w:rFonts w:ascii="GHEA Grapalat" w:hAnsi="GHEA Grapalat"/>
                <w:szCs w:val="24"/>
                <w:lang w:val="en-US"/>
              </w:rPr>
            </w:pPr>
            <w:r w:rsidRPr="006606F4">
              <w:rPr>
                <w:rFonts w:ascii="GHEA Grapalat" w:hAnsi="GHEA Grapalat"/>
                <w:szCs w:val="24"/>
                <w:lang w:val="en-US"/>
              </w:rPr>
              <w:t>Ֆինանսական և համապատասխանության հաշվեքննության վարչություն</w:t>
            </w:r>
          </w:p>
        </w:tc>
        <w:tc>
          <w:tcPr>
            <w:tcW w:w="1843" w:type="dxa"/>
            <w:vAlign w:val="center"/>
          </w:tcPr>
          <w:p w14:paraId="411D341B" w14:textId="5A74A088" w:rsidR="00BC32B6" w:rsidRPr="00BC32B6" w:rsidRDefault="00BC32B6" w:rsidP="00BC32B6">
            <w:pPr>
              <w:ind w:firstLine="0"/>
              <w:jc w:val="left"/>
              <w:rPr>
                <w:rFonts w:ascii="GHEA Grapalat" w:hAnsi="GHEA Grapalat"/>
                <w:szCs w:val="24"/>
                <w:lang w:val="en-US"/>
              </w:rPr>
            </w:pPr>
            <w:r w:rsidRPr="006606F4">
              <w:rPr>
                <w:rFonts w:ascii="GHEA Grapalat" w:hAnsi="GHEA Grapalat"/>
                <w:szCs w:val="24"/>
                <w:lang w:val="en-US"/>
              </w:rPr>
              <w:t>2025-206թթ.</w:t>
            </w:r>
          </w:p>
        </w:tc>
      </w:tr>
      <w:tr w:rsidR="00BC32B6" w:rsidRPr="00752793" w14:paraId="2E13978B" w14:textId="77777777" w:rsidTr="00DD20B5">
        <w:trPr>
          <w:trHeight w:val="70"/>
        </w:trPr>
        <w:tc>
          <w:tcPr>
            <w:tcW w:w="566" w:type="dxa"/>
          </w:tcPr>
          <w:p w14:paraId="0F146675" w14:textId="141576E4" w:rsidR="00BC32B6" w:rsidRPr="00483A64" w:rsidRDefault="00BC32B6" w:rsidP="00BC32B6">
            <w:pPr>
              <w:pStyle w:val="ListParagraph"/>
              <w:numPr>
                <w:ilvl w:val="0"/>
                <w:numId w:val="0"/>
              </w:numPr>
              <w:rPr>
                <w:rFonts w:ascii="GHEA Grapalat" w:eastAsiaTheme="minorHAnsi" w:hAnsi="GHEA Grapalat"/>
                <w:sz w:val="24"/>
                <w:szCs w:val="24"/>
              </w:rPr>
            </w:pPr>
            <w:r w:rsidRPr="00483A64">
              <w:rPr>
                <w:rFonts w:ascii="GHEA Grapalat" w:eastAsiaTheme="minorHAnsi" w:hAnsi="GHEA Grapalat"/>
                <w:sz w:val="24"/>
                <w:szCs w:val="24"/>
              </w:rPr>
              <w:t>7.2</w:t>
            </w:r>
          </w:p>
        </w:tc>
        <w:tc>
          <w:tcPr>
            <w:tcW w:w="4252" w:type="dxa"/>
            <w:vAlign w:val="center"/>
          </w:tcPr>
          <w:p w14:paraId="1CAB41AA" w14:textId="473F6596" w:rsidR="00BC32B6" w:rsidRPr="00BC32B6" w:rsidRDefault="00BC32B6" w:rsidP="00BC32B6">
            <w:pPr>
              <w:ind w:firstLine="0"/>
              <w:jc w:val="left"/>
              <w:rPr>
                <w:rFonts w:ascii="GHEA Grapalat" w:hAnsi="GHEA Grapalat"/>
                <w:szCs w:val="24"/>
                <w:lang w:val="en-US"/>
              </w:rPr>
            </w:pPr>
            <w:r w:rsidRPr="006606F4">
              <w:rPr>
                <w:rFonts w:cs="Calibri"/>
                <w:szCs w:val="24"/>
                <w:lang w:val="en-US"/>
              </w:rPr>
              <w:t> </w:t>
            </w:r>
            <w:r w:rsidRPr="006606F4">
              <w:rPr>
                <w:rFonts w:ascii="GHEA Grapalat" w:hAnsi="GHEA Grapalat"/>
                <w:szCs w:val="24"/>
                <w:lang w:val="en-US"/>
              </w:rPr>
              <w:t>ՀՀ առողջապահության նախարարություն</w:t>
            </w:r>
          </w:p>
        </w:tc>
        <w:tc>
          <w:tcPr>
            <w:tcW w:w="2412" w:type="dxa"/>
            <w:vAlign w:val="center"/>
          </w:tcPr>
          <w:p w14:paraId="7102E235" w14:textId="6628FFB6" w:rsidR="00BC32B6" w:rsidRPr="00BC32B6" w:rsidRDefault="00BC32B6" w:rsidP="00BC32B6">
            <w:pPr>
              <w:ind w:firstLine="0"/>
              <w:jc w:val="left"/>
              <w:rPr>
                <w:rFonts w:ascii="GHEA Grapalat" w:hAnsi="GHEA Grapalat"/>
                <w:szCs w:val="24"/>
                <w:lang w:val="en-US"/>
              </w:rPr>
            </w:pPr>
            <w:r w:rsidRPr="006606F4">
              <w:rPr>
                <w:rFonts w:ascii="GHEA Grapalat" w:hAnsi="GHEA Grapalat"/>
                <w:szCs w:val="24"/>
                <w:lang w:val="en-US"/>
              </w:rPr>
              <w:t>Դեղերի արտադրության և դեղերի մեծածախ իրացման լիցենզավորման գործընթաց</w:t>
            </w:r>
          </w:p>
        </w:tc>
        <w:tc>
          <w:tcPr>
            <w:tcW w:w="2268" w:type="dxa"/>
            <w:vAlign w:val="center"/>
          </w:tcPr>
          <w:p w14:paraId="16AD0816" w14:textId="4DE6C940" w:rsidR="00BC32B6" w:rsidRPr="00BC32B6" w:rsidRDefault="00BC32B6" w:rsidP="00BC32B6">
            <w:pPr>
              <w:ind w:firstLine="0"/>
              <w:jc w:val="left"/>
              <w:rPr>
                <w:rFonts w:ascii="GHEA Grapalat" w:hAnsi="GHEA Grapalat"/>
                <w:szCs w:val="24"/>
                <w:lang w:val="en-US"/>
              </w:rPr>
            </w:pPr>
            <w:r w:rsidRPr="006606F4">
              <w:rPr>
                <w:rFonts w:ascii="GHEA Grapalat" w:hAnsi="GHEA Grapalat"/>
                <w:szCs w:val="24"/>
                <w:lang w:val="en-US"/>
              </w:rPr>
              <w:t>Համապատասխանության հաշվեքննություն</w:t>
            </w:r>
          </w:p>
        </w:tc>
        <w:tc>
          <w:tcPr>
            <w:tcW w:w="2693" w:type="dxa"/>
            <w:vAlign w:val="center"/>
          </w:tcPr>
          <w:p w14:paraId="071BFF26" w14:textId="29C377D0" w:rsidR="00BC32B6" w:rsidRPr="00BC32B6" w:rsidRDefault="00BC32B6" w:rsidP="00BC32B6">
            <w:pPr>
              <w:ind w:firstLine="0"/>
              <w:jc w:val="left"/>
              <w:rPr>
                <w:rFonts w:ascii="GHEA Grapalat" w:hAnsi="GHEA Grapalat"/>
                <w:szCs w:val="24"/>
                <w:lang w:val="en-US"/>
              </w:rPr>
            </w:pPr>
            <w:r w:rsidRPr="006606F4">
              <w:rPr>
                <w:rFonts w:ascii="GHEA Grapalat" w:hAnsi="GHEA Grapalat"/>
                <w:szCs w:val="24"/>
                <w:lang w:val="en-US"/>
              </w:rPr>
              <w:t>Ֆինանսական և համապատասխանության հաշվեքննության վարչություն</w:t>
            </w:r>
          </w:p>
        </w:tc>
        <w:tc>
          <w:tcPr>
            <w:tcW w:w="1843" w:type="dxa"/>
            <w:vAlign w:val="center"/>
          </w:tcPr>
          <w:p w14:paraId="58180F66" w14:textId="4AD83F0D" w:rsidR="00BC32B6" w:rsidRPr="00BC32B6" w:rsidRDefault="00BC32B6" w:rsidP="00BC32B6">
            <w:pPr>
              <w:ind w:firstLine="0"/>
              <w:jc w:val="left"/>
              <w:rPr>
                <w:rFonts w:ascii="GHEA Grapalat" w:hAnsi="GHEA Grapalat"/>
                <w:szCs w:val="24"/>
                <w:lang w:val="en-US"/>
              </w:rPr>
            </w:pPr>
            <w:r w:rsidRPr="006606F4">
              <w:rPr>
                <w:rFonts w:ascii="GHEA Grapalat" w:hAnsi="GHEA Grapalat"/>
                <w:szCs w:val="24"/>
                <w:lang w:val="en-US"/>
              </w:rPr>
              <w:t>2025-2026թթ.</w:t>
            </w:r>
          </w:p>
        </w:tc>
      </w:tr>
      <w:tr w:rsidR="00BC32B6" w:rsidRPr="00752793" w14:paraId="63AC08E5" w14:textId="77777777" w:rsidTr="00866885">
        <w:trPr>
          <w:trHeight w:val="442"/>
        </w:trPr>
        <w:tc>
          <w:tcPr>
            <w:tcW w:w="566" w:type="dxa"/>
          </w:tcPr>
          <w:p w14:paraId="0DED23CC" w14:textId="77777777" w:rsidR="00BC32B6" w:rsidRPr="00752793" w:rsidRDefault="00BC32B6" w:rsidP="00BC32B6">
            <w:pPr>
              <w:pStyle w:val="ListParagraph"/>
              <w:numPr>
                <w:ilvl w:val="0"/>
                <w:numId w:val="3"/>
              </w:numPr>
              <w:ind w:left="0" w:firstLine="0"/>
              <w:rPr>
                <w:rFonts w:ascii="GHEA Grapalat" w:eastAsiaTheme="minorHAnsi" w:hAnsi="GHEA Grapalat"/>
                <w:sz w:val="24"/>
                <w:szCs w:val="24"/>
              </w:rPr>
            </w:pPr>
          </w:p>
        </w:tc>
        <w:tc>
          <w:tcPr>
            <w:tcW w:w="4252" w:type="dxa"/>
          </w:tcPr>
          <w:p w14:paraId="5D830C65"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Երևանի քաղաքապետարան</w:t>
            </w:r>
          </w:p>
        </w:tc>
        <w:tc>
          <w:tcPr>
            <w:tcW w:w="2412" w:type="dxa"/>
          </w:tcPr>
          <w:p w14:paraId="077F5CE1"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Խելացի քաղաք ռազմավարական ծրագրի կատարում</w:t>
            </w:r>
          </w:p>
        </w:tc>
        <w:tc>
          <w:tcPr>
            <w:tcW w:w="2268" w:type="dxa"/>
          </w:tcPr>
          <w:p w14:paraId="3C1AE394"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Կատարողականի հաշվեքննություն</w:t>
            </w:r>
          </w:p>
        </w:tc>
        <w:tc>
          <w:tcPr>
            <w:tcW w:w="2693" w:type="dxa"/>
          </w:tcPr>
          <w:p w14:paraId="6E997550"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Կատարողականի հաշվեքննության վարչություն</w:t>
            </w:r>
          </w:p>
        </w:tc>
        <w:tc>
          <w:tcPr>
            <w:tcW w:w="1843" w:type="dxa"/>
          </w:tcPr>
          <w:p w14:paraId="10366205"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2026-2027թթ.</w:t>
            </w:r>
          </w:p>
        </w:tc>
      </w:tr>
      <w:tr w:rsidR="00BC32B6" w:rsidRPr="00752793" w14:paraId="7495FDAA" w14:textId="77777777" w:rsidTr="00866885">
        <w:trPr>
          <w:trHeight w:val="442"/>
        </w:trPr>
        <w:tc>
          <w:tcPr>
            <w:tcW w:w="566" w:type="dxa"/>
          </w:tcPr>
          <w:p w14:paraId="6EE5B339" w14:textId="77777777" w:rsidR="00BC32B6" w:rsidRPr="00752793" w:rsidRDefault="00BC32B6" w:rsidP="00BC32B6">
            <w:pPr>
              <w:pStyle w:val="ListParagraph"/>
              <w:numPr>
                <w:ilvl w:val="0"/>
                <w:numId w:val="3"/>
              </w:numPr>
              <w:ind w:left="0" w:firstLine="0"/>
              <w:rPr>
                <w:rFonts w:ascii="GHEA Grapalat" w:eastAsiaTheme="minorHAnsi" w:hAnsi="GHEA Grapalat"/>
                <w:sz w:val="24"/>
                <w:szCs w:val="24"/>
              </w:rPr>
            </w:pPr>
          </w:p>
        </w:tc>
        <w:tc>
          <w:tcPr>
            <w:tcW w:w="4252" w:type="dxa"/>
          </w:tcPr>
          <w:p w14:paraId="7D198A43"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ՀՀ մարզերի համայնքապետարաններ</w:t>
            </w:r>
          </w:p>
        </w:tc>
        <w:tc>
          <w:tcPr>
            <w:tcW w:w="2412" w:type="dxa"/>
          </w:tcPr>
          <w:p w14:paraId="57DA3695"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Համայնքային սեփականություն հանդիսացող հողամասերի օտարում և վարձակալություն</w:t>
            </w:r>
          </w:p>
        </w:tc>
        <w:tc>
          <w:tcPr>
            <w:tcW w:w="2268" w:type="dxa"/>
          </w:tcPr>
          <w:p w14:paraId="696CD0E9"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Կատարողականի հաշվեքննություն</w:t>
            </w:r>
          </w:p>
        </w:tc>
        <w:tc>
          <w:tcPr>
            <w:tcW w:w="2693" w:type="dxa"/>
          </w:tcPr>
          <w:p w14:paraId="0E97723C"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Կատարողականի հաշվեքննության վարչություն</w:t>
            </w:r>
          </w:p>
        </w:tc>
        <w:tc>
          <w:tcPr>
            <w:tcW w:w="1843" w:type="dxa"/>
          </w:tcPr>
          <w:p w14:paraId="63061760"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2026-2027թթ.</w:t>
            </w:r>
          </w:p>
        </w:tc>
      </w:tr>
      <w:tr w:rsidR="00BC32B6" w:rsidRPr="00752793" w14:paraId="23F53DFB" w14:textId="77777777" w:rsidTr="00866885">
        <w:trPr>
          <w:trHeight w:val="70"/>
        </w:trPr>
        <w:tc>
          <w:tcPr>
            <w:tcW w:w="566" w:type="dxa"/>
          </w:tcPr>
          <w:p w14:paraId="68AF2285" w14:textId="77777777" w:rsidR="00BC32B6" w:rsidRPr="00752793" w:rsidRDefault="00BC32B6" w:rsidP="00BC32B6">
            <w:pPr>
              <w:pStyle w:val="ListParagraph"/>
              <w:numPr>
                <w:ilvl w:val="0"/>
                <w:numId w:val="3"/>
              </w:numPr>
              <w:ind w:left="0" w:firstLine="0"/>
              <w:rPr>
                <w:rFonts w:ascii="GHEA Grapalat" w:eastAsiaTheme="minorHAnsi" w:hAnsi="GHEA Grapalat"/>
                <w:sz w:val="24"/>
                <w:szCs w:val="24"/>
              </w:rPr>
            </w:pPr>
          </w:p>
        </w:tc>
        <w:tc>
          <w:tcPr>
            <w:tcW w:w="4252" w:type="dxa"/>
          </w:tcPr>
          <w:p w14:paraId="21CC2980"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ՀՀ մարզերի համայնքապետարաններ</w:t>
            </w:r>
          </w:p>
        </w:tc>
        <w:tc>
          <w:tcPr>
            <w:tcW w:w="2412" w:type="dxa"/>
          </w:tcPr>
          <w:p w14:paraId="3060DD88" w14:textId="56952EBF"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sz w:val="24"/>
                <w:szCs w:val="24"/>
                <w:lang w:val="en-GB"/>
              </w:rPr>
              <w:t>Գ</w:t>
            </w:r>
            <w:r w:rsidRPr="00752793">
              <w:rPr>
                <w:rFonts w:ascii="GHEA Grapalat" w:hAnsi="GHEA Grapalat" w:cstheme="minorBidi"/>
                <w:lang w:val="en-GB"/>
              </w:rPr>
              <w:t>նումների գործընթաց</w:t>
            </w:r>
          </w:p>
        </w:tc>
        <w:tc>
          <w:tcPr>
            <w:tcW w:w="2268" w:type="dxa"/>
          </w:tcPr>
          <w:p w14:paraId="0F1F6F92"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Համապատասխանության հաշվեքննություն</w:t>
            </w:r>
          </w:p>
        </w:tc>
        <w:tc>
          <w:tcPr>
            <w:tcW w:w="2693" w:type="dxa"/>
          </w:tcPr>
          <w:p w14:paraId="4407DA41"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Ֆինանսական և համապատասխանության հաշվեքննության վարչություն</w:t>
            </w:r>
          </w:p>
        </w:tc>
        <w:tc>
          <w:tcPr>
            <w:tcW w:w="1843" w:type="dxa"/>
          </w:tcPr>
          <w:p w14:paraId="7C4CBB83"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2026թ.</w:t>
            </w:r>
          </w:p>
        </w:tc>
      </w:tr>
      <w:tr w:rsidR="00BC32B6" w:rsidRPr="00752793" w14:paraId="39E6E374" w14:textId="77777777" w:rsidTr="00866885">
        <w:trPr>
          <w:trHeight w:val="70"/>
        </w:trPr>
        <w:tc>
          <w:tcPr>
            <w:tcW w:w="566" w:type="dxa"/>
            <w:tcBorders>
              <w:bottom w:val="single" w:sz="4" w:space="0" w:color="1F4E79"/>
            </w:tcBorders>
          </w:tcPr>
          <w:p w14:paraId="113C6D4B" w14:textId="77777777" w:rsidR="00BC32B6" w:rsidRPr="00752793" w:rsidRDefault="00BC32B6" w:rsidP="00BC32B6">
            <w:pPr>
              <w:pStyle w:val="ListParagraph"/>
              <w:numPr>
                <w:ilvl w:val="0"/>
                <w:numId w:val="3"/>
              </w:numPr>
              <w:ind w:left="0" w:firstLine="0"/>
              <w:rPr>
                <w:rFonts w:ascii="GHEA Grapalat" w:eastAsiaTheme="minorHAnsi" w:hAnsi="GHEA Grapalat"/>
                <w:sz w:val="24"/>
                <w:szCs w:val="24"/>
              </w:rPr>
            </w:pPr>
          </w:p>
        </w:tc>
        <w:tc>
          <w:tcPr>
            <w:tcW w:w="4252" w:type="dxa"/>
            <w:tcBorders>
              <w:bottom w:val="single" w:sz="4" w:space="0" w:color="1F4E79"/>
            </w:tcBorders>
          </w:tcPr>
          <w:p w14:paraId="56398526"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Ապարանի համայնքապետարան</w:t>
            </w:r>
          </w:p>
        </w:tc>
        <w:tc>
          <w:tcPr>
            <w:tcW w:w="2412" w:type="dxa"/>
            <w:tcBorders>
              <w:bottom w:val="single" w:sz="4" w:space="0" w:color="1F4E79"/>
            </w:tcBorders>
          </w:tcPr>
          <w:p w14:paraId="77B5F7C4" w14:textId="63DE6346"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Ֆինանսատնտե</w:t>
            </w:r>
            <w:r w:rsidRPr="00752793">
              <w:rPr>
                <w:rFonts w:ascii="GHEA Grapalat" w:hAnsi="GHEA Grapalat"/>
                <w:sz w:val="24"/>
                <w:szCs w:val="24"/>
                <w:lang w:val="en-GB"/>
              </w:rPr>
              <w:softHyphen/>
            </w:r>
            <w:r w:rsidRPr="00752793">
              <w:rPr>
                <w:rFonts w:ascii="GHEA Grapalat" w:hAnsi="GHEA Grapalat" w:cstheme="minorBidi"/>
                <w:lang w:val="en-GB"/>
              </w:rPr>
              <w:t>սական գործունեություն</w:t>
            </w:r>
          </w:p>
        </w:tc>
        <w:tc>
          <w:tcPr>
            <w:tcW w:w="2268" w:type="dxa"/>
            <w:tcBorders>
              <w:bottom w:val="single" w:sz="4" w:space="0" w:color="1F4E79"/>
            </w:tcBorders>
          </w:tcPr>
          <w:p w14:paraId="1AEF08CD"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ֆինանսական և համապատասխանության հաշվեքննություն</w:t>
            </w:r>
          </w:p>
        </w:tc>
        <w:tc>
          <w:tcPr>
            <w:tcW w:w="2693" w:type="dxa"/>
            <w:tcBorders>
              <w:bottom w:val="single" w:sz="4" w:space="0" w:color="1F4E79"/>
            </w:tcBorders>
          </w:tcPr>
          <w:p w14:paraId="5F3157D8"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Ֆինանսական և համապատասխանության հաշվեքննության վարչություն</w:t>
            </w:r>
          </w:p>
        </w:tc>
        <w:tc>
          <w:tcPr>
            <w:tcW w:w="1843" w:type="dxa"/>
            <w:tcBorders>
              <w:bottom w:val="single" w:sz="4" w:space="0" w:color="1F4E79"/>
            </w:tcBorders>
          </w:tcPr>
          <w:p w14:paraId="0303DC3A" w14:textId="77777777" w:rsidR="00BC32B6" w:rsidRPr="00752793" w:rsidRDefault="00BC32B6" w:rsidP="00BC32B6">
            <w:pPr>
              <w:ind w:firstLine="0"/>
              <w:jc w:val="left"/>
              <w:rPr>
                <w:rFonts w:ascii="GHEA Grapalat" w:hAnsi="GHEA Grapalat"/>
                <w:sz w:val="24"/>
                <w:szCs w:val="24"/>
                <w:lang w:val="en-GB"/>
              </w:rPr>
            </w:pPr>
            <w:r w:rsidRPr="00752793">
              <w:rPr>
                <w:rFonts w:ascii="GHEA Grapalat" w:hAnsi="GHEA Grapalat" w:cstheme="minorBidi"/>
                <w:lang w:val="en-GB"/>
              </w:rPr>
              <w:t>2026թ.</w:t>
            </w:r>
          </w:p>
        </w:tc>
      </w:tr>
      <w:tr w:rsidR="00BC32B6" w:rsidRPr="00752793" w14:paraId="0BC66F30" w14:textId="77777777" w:rsidTr="00866885">
        <w:tblPrEx>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PrEx>
        <w:trPr>
          <w:trHeight w:val="534"/>
          <w:tblHeader/>
        </w:trPr>
        <w:tc>
          <w:tcPr>
            <w:tcW w:w="14034" w:type="dxa"/>
            <w:gridSpan w:val="6"/>
            <w:tcBorders>
              <w:left w:val="nil"/>
              <w:right w:val="nil"/>
            </w:tcBorders>
            <w:shd w:val="clear" w:color="auto" w:fill="auto"/>
            <w:vAlign w:val="center"/>
          </w:tcPr>
          <w:p w14:paraId="320F308D" w14:textId="77777777" w:rsidR="00BC32B6" w:rsidRPr="00752793" w:rsidRDefault="00BC32B6" w:rsidP="00BC32B6">
            <w:pPr>
              <w:keepNext/>
              <w:keepLines/>
              <w:spacing w:before="480" w:after="360"/>
              <w:ind w:firstLine="0"/>
              <w:jc w:val="left"/>
              <w:rPr>
                <w:rFonts w:ascii="GHEA Grapalat" w:hAnsi="GHEA Grapalat" w:cs="Helvetica"/>
                <w:sz w:val="24"/>
                <w:szCs w:val="24"/>
              </w:rPr>
            </w:pPr>
            <w:r w:rsidRPr="00443956">
              <w:rPr>
                <w:rFonts w:ascii="GHEA Grapalat" w:hAnsi="GHEA Grapalat"/>
                <w:b/>
                <w:bCs/>
                <w:color w:val="806000" w:themeColor="accent4" w:themeShade="80"/>
              </w:rPr>
              <w:t>2-ՐԴ ԲԱԺԻՆ - ՄԻՋԱԶԳԱՅԻՆ ՀԱՄԱՁԱՅՆԱԳՐԵՐ ԵՎ ՍՏԱՆՁՆԱԾ ՊԱՐՏԱՎՈՐՈՒԹՅՈՒՆՆԵՐԻ ԿԱՏԱՐՄԱՆՆ ՈՒՂՂՎԱԾ ՄԻՋՈՑԱՌՈՒՄՆԵՐ</w:t>
            </w:r>
          </w:p>
        </w:tc>
      </w:tr>
      <w:tr w:rsidR="00BC32B6" w:rsidRPr="00752793" w14:paraId="5D88128A" w14:textId="77777777" w:rsidTr="00866885">
        <w:tblPrEx>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PrEx>
        <w:trPr>
          <w:trHeight w:val="534"/>
          <w:tblHeader/>
        </w:trPr>
        <w:tc>
          <w:tcPr>
            <w:tcW w:w="566" w:type="dxa"/>
            <w:shd w:val="clear" w:color="auto" w:fill="D9E2F3" w:themeFill="accent5" w:themeFillTint="33"/>
            <w:vAlign w:val="center"/>
          </w:tcPr>
          <w:p w14:paraId="56A42F5F" w14:textId="77777777" w:rsidR="00BC32B6" w:rsidRPr="00752793" w:rsidRDefault="00BC32B6" w:rsidP="00BC32B6">
            <w:pPr>
              <w:spacing w:line="240" w:lineRule="auto"/>
              <w:ind w:firstLine="0"/>
              <w:jc w:val="center"/>
              <w:rPr>
                <w:rFonts w:ascii="GHEA Grapalat" w:hAnsi="GHEA Grapalat"/>
                <w:b/>
                <w:bCs/>
                <w:sz w:val="24"/>
                <w:szCs w:val="24"/>
              </w:rPr>
            </w:pPr>
            <w:r w:rsidRPr="00752793">
              <w:rPr>
                <w:rFonts w:ascii="GHEA Grapalat" w:hAnsi="GHEA Grapalat" w:cstheme="minorBidi"/>
                <w:b/>
                <w:bCs/>
              </w:rPr>
              <w:t>N</w:t>
            </w:r>
          </w:p>
        </w:tc>
        <w:tc>
          <w:tcPr>
            <w:tcW w:w="8932" w:type="dxa"/>
            <w:gridSpan w:val="3"/>
            <w:shd w:val="clear" w:color="auto" w:fill="D9E2F3" w:themeFill="accent5" w:themeFillTint="33"/>
            <w:vAlign w:val="center"/>
          </w:tcPr>
          <w:p w14:paraId="73BA2C6C" w14:textId="77777777" w:rsidR="00BC32B6" w:rsidRPr="00752793" w:rsidRDefault="00BC32B6" w:rsidP="00BC32B6">
            <w:pPr>
              <w:spacing w:line="240" w:lineRule="auto"/>
              <w:ind w:firstLine="0"/>
              <w:jc w:val="center"/>
              <w:rPr>
                <w:rFonts w:ascii="GHEA Grapalat" w:hAnsi="GHEA Grapalat"/>
                <w:b/>
                <w:bCs/>
                <w:sz w:val="24"/>
                <w:szCs w:val="24"/>
              </w:rPr>
            </w:pPr>
            <w:r w:rsidRPr="00752793">
              <w:rPr>
                <w:rFonts w:ascii="GHEA Grapalat" w:hAnsi="GHEA Grapalat" w:cstheme="minorBidi"/>
                <w:b/>
                <w:bCs/>
              </w:rPr>
              <w:t>ԱՆՎԱՆՈՒՄԸ</w:t>
            </w:r>
          </w:p>
        </w:tc>
        <w:tc>
          <w:tcPr>
            <w:tcW w:w="2693" w:type="dxa"/>
            <w:shd w:val="clear" w:color="auto" w:fill="D9E2F3" w:themeFill="accent5" w:themeFillTint="33"/>
            <w:vAlign w:val="center"/>
          </w:tcPr>
          <w:p w14:paraId="48470E11" w14:textId="77777777" w:rsidR="00BC32B6" w:rsidRPr="00752793" w:rsidRDefault="00BC32B6" w:rsidP="00BC32B6">
            <w:pPr>
              <w:spacing w:line="240" w:lineRule="auto"/>
              <w:ind w:firstLine="0"/>
              <w:jc w:val="center"/>
              <w:rPr>
                <w:rFonts w:ascii="GHEA Grapalat" w:hAnsi="GHEA Grapalat"/>
                <w:b/>
                <w:bCs/>
                <w:sz w:val="24"/>
                <w:szCs w:val="24"/>
              </w:rPr>
            </w:pPr>
            <w:r w:rsidRPr="00752793">
              <w:rPr>
                <w:rFonts w:ascii="GHEA Grapalat" w:hAnsi="GHEA Grapalat" w:cstheme="minorBidi"/>
                <w:b/>
                <w:bCs/>
              </w:rPr>
              <w:t>ՊԱՏԱՍԽԱՆԱՏՈՒ ՍՏՈՐԱԲԱԺԱՆՈՒՄԸ</w:t>
            </w:r>
          </w:p>
        </w:tc>
        <w:tc>
          <w:tcPr>
            <w:tcW w:w="1843" w:type="dxa"/>
            <w:shd w:val="clear" w:color="auto" w:fill="D9E2F3" w:themeFill="accent5" w:themeFillTint="33"/>
            <w:vAlign w:val="center"/>
          </w:tcPr>
          <w:p w14:paraId="68F36C21" w14:textId="77777777" w:rsidR="00BC32B6" w:rsidRPr="00752793" w:rsidRDefault="00BC32B6" w:rsidP="00BC32B6">
            <w:pPr>
              <w:spacing w:line="240" w:lineRule="auto"/>
              <w:ind w:firstLine="0"/>
              <w:jc w:val="center"/>
              <w:rPr>
                <w:rFonts w:ascii="GHEA Grapalat" w:hAnsi="GHEA Grapalat"/>
                <w:b/>
                <w:bCs/>
                <w:sz w:val="24"/>
                <w:szCs w:val="24"/>
              </w:rPr>
            </w:pPr>
            <w:r w:rsidRPr="00752793">
              <w:rPr>
                <w:rFonts w:ascii="GHEA Grapalat" w:hAnsi="GHEA Grapalat" w:cstheme="minorBidi"/>
                <w:b/>
                <w:bCs/>
              </w:rPr>
              <w:t>ԻՐԱԿԱՆԱՑ-ՄԱՆ ԺԱՄԿԵՏԸ</w:t>
            </w:r>
          </w:p>
        </w:tc>
      </w:tr>
      <w:tr w:rsidR="00BC32B6" w:rsidRPr="00752793" w14:paraId="714243E3" w14:textId="77777777" w:rsidTr="00866885">
        <w:tblPrEx>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PrEx>
        <w:trPr>
          <w:trHeight w:val="269"/>
        </w:trPr>
        <w:tc>
          <w:tcPr>
            <w:tcW w:w="566" w:type="dxa"/>
            <w:tcBorders>
              <w:bottom w:val="single" w:sz="4" w:space="0" w:color="1F4E79"/>
            </w:tcBorders>
          </w:tcPr>
          <w:p w14:paraId="483C2F32" w14:textId="77777777" w:rsidR="00BC32B6" w:rsidRPr="00752793" w:rsidRDefault="00BC32B6" w:rsidP="00BC32B6">
            <w:pPr>
              <w:spacing w:line="240" w:lineRule="auto"/>
              <w:ind w:firstLine="0"/>
              <w:rPr>
                <w:rFonts w:ascii="GHEA Grapalat" w:hAnsi="GHEA Grapalat"/>
                <w:sz w:val="24"/>
                <w:szCs w:val="24"/>
              </w:rPr>
            </w:pPr>
            <w:r w:rsidRPr="00752793">
              <w:rPr>
                <w:rFonts w:ascii="GHEA Grapalat" w:hAnsi="GHEA Grapalat" w:cstheme="minorBidi"/>
              </w:rPr>
              <w:t>1</w:t>
            </w:r>
            <w:r w:rsidRPr="00752793">
              <w:rPr>
                <w:rFonts w:ascii="Cambria Math" w:hAnsi="Cambria Math" w:cs="Cambria Math"/>
              </w:rPr>
              <w:t>․</w:t>
            </w:r>
          </w:p>
        </w:tc>
        <w:tc>
          <w:tcPr>
            <w:tcW w:w="8932" w:type="dxa"/>
            <w:gridSpan w:val="3"/>
            <w:tcBorders>
              <w:bottom w:val="single" w:sz="4" w:space="0" w:color="1F4E79"/>
            </w:tcBorders>
            <w:vAlign w:val="center"/>
          </w:tcPr>
          <w:p w14:paraId="47EB5CB1" w14:textId="77777777" w:rsidR="00BC32B6" w:rsidRPr="00752793" w:rsidRDefault="00BC32B6" w:rsidP="00BC32B6">
            <w:pPr>
              <w:ind w:firstLine="0"/>
              <w:rPr>
                <w:rFonts w:ascii="GHEA Grapalat" w:hAnsi="GHEA Grapalat"/>
                <w:sz w:val="24"/>
                <w:szCs w:val="24"/>
              </w:rPr>
            </w:pPr>
            <w:r w:rsidRPr="00752793">
              <w:rPr>
                <w:rFonts w:ascii="GHEA Grapalat" w:hAnsi="GHEA Grapalat" w:cstheme="minorBidi"/>
              </w:rPr>
              <w:t>Եվրասիական տնտեսական միության (ԵԱՏՄ) մարմիններում բյուջետային միջոցների ձևավորման, կառավարման ու տնօրինման, գույքի և այլ ակտիվների օգտագործման վերաբերյալ համատեղ հսկողական (աուդիտի) միջոցառումներ:</w:t>
            </w:r>
          </w:p>
        </w:tc>
        <w:tc>
          <w:tcPr>
            <w:tcW w:w="2693" w:type="dxa"/>
            <w:tcBorders>
              <w:bottom w:val="single" w:sz="4" w:space="0" w:color="1F4E79"/>
            </w:tcBorders>
          </w:tcPr>
          <w:p w14:paraId="2B4FCFBD" w14:textId="66EC042C" w:rsidR="00BC32B6" w:rsidRPr="00752793" w:rsidRDefault="00BC32B6" w:rsidP="00BC32B6">
            <w:pPr>
              <w:ind w:firstLine="0"/>
              <w:rPr>
                <w:rFonts w:ascii="GHEA Grapalat" w:hAnsi="GHEA Grapalat"/>
                <w:sz w:val="24"/>
                <w:szCs w:val="24"/>
              </w:rPr>
            </w:pPr>
            <w:r w:rsidRPr="00752793">
              <w:rPr>
                <w:rFonts w:ascii="GHEA Grapalat" w:hAnsi="GHEA Grapalat" w:cstheme="minorBidi"/>
              </w:rPr>
              <w:t>Հաղորդակցության և արարողակարգի բաժին</w:t>
            </w:r>
          </w:p>
        </w:tc>
        <w:tc>
          <w:tcPr>
            <w:tcW w:w="1843" w:type="dxa"/>
            <w:tcBorders>
              <w:bottom w:val="single" w:sz="4" w:space="0" w:color="1F4E79"/>
            </w:tcBorders>
          </w:tcPr>
          <w:p w14:paraId="2FE14C8B" w14:textId="77777777" w:rsidR="00BC32B6" w:rsidRPr="00752793" w:rsidRDefault="00BC32B6" w:rsidP="00BC32B6">
            <w:pPr>
              <w:ind w:firstLine="0"/>
              <w:rPr>
                <w:rFonts w:ascii="GHEA Grapalat" w:hAnsi="GHEA Grapalat"/>
                <w:sz w:val="24"/>
                <w:szCs w:val="24"/>
              </w:rPr>
            </w:pPr>
            <w:r w:rsidRPr="00752793">
              <w:rPr>
                <w:rFonts w:ascii="GHEA Grapalat" w:hAnsi="GHEA Grapalat" w:cstheme="minorBidi"/>
              </w:rPr>
              <w:t>2026թ.</w:t>
            </w:r>
          </w:p>
        </w:tc>
      </w:tr>
      <w:tr w:rsidR="00BC32B6" w:rsidRPr="00752793" w14:paraId="706B74AA" w14:textId="77777777" w:rsidTr="00866885">
        <w:tblPrEx>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PrEx>
        <w:trPr>
          <w:trHeight w:val="269"/>
        </w:trPr>
        <w:tc>
          <w:tcPr>
            <w:tcW w:w="566" w:type="dxa"/>
            <w:tcBorders>
              <w:bottom w:val="single" w:sz="4" w:space="0" w:color="1F4E79"/>
            </w:tcBorders>
          </w:tcPr>
          <w:p w14:paraId="1633620A" w14:textId="77777777" w:rsidR="00BC32B6" w:rsidRPr="00752793" w:rsidRDefault="00BC32B6" w:rsidP="00BC32B6">
            <w:pPr>
              <w:spacing w:line="240" w:lineRule="auto"/>
              <w:ind w:firstLine="0"/>
              <w:rPr>
                <w:rFonts w:ascii="GHEA Grapalat" w:hAnsi="GHEA Grapalat" w:cstheme="minorBidi"/>
                <w:sz w:val="24"/>
                <w:szCs w:val="24"/>
              </w:rPr>
            </w:pPr>
            <w:r w:rsidRPr="00752793">
              <w:rPr>
                <w:rFonts w:ascii="GHEA Grapalat" w:hAnsi="GHEA Grapalat" w:cstheme="minorBidi"/>
              </w:rPr>
              <w:t>2.</w:t>
            </w:r>
          </w:p>
        </w:tc>
        <w:tc>
          <w:tcPr>
            <w:tcW w:w="8932" w:type="dxa"/>
            <w:gridSpan w:val="3"/>
            <w:tcBorders>
              <w:bottom w:val="single" w:sz="4" w:space="0" w:color="1F4E79"/>
            </w:tcBorders>
            <w:vAlign w:val="center"/>
          </w:tcPr>
          <w:p w14:paraId="4C44D5CD" w14:textId="77777777" w:rsidR="00BC32B6" w:rsidRPr="00752793" w:rsidRDefault="00BC32B6" w:rsidP="00BC32B6">
            <w:pPr>
              <w:spacing w:line="240" w:lineRule="auto"/>
              <w:ind w:firstLine="0"/>
              <w:rPr>
                <w:rFonts w:ascii="GHEA Grapalat" w:hAnsi="GHEA Grapalat" w:cstheme="minorBidi"/>
                <w:sz w:val="24"/>
                <w:szCs w:val="24"/>
              </w:rPr>
            </w:pPr>
            <w:r w:rsidRPr="00752793">
              <w:rPr>
                <w:rFonts w:ascii="GHEA Grapalat" w:hAnsi="GHEA Grapalat" w:cstheme="minorBidi"/>
              </w:rPr>
              <w:t>ԵԱՏՄ անդամ պետության բյուջեի կատարման դրամարկղային սպասարկում իրականացնող լիազոր մարմիններում ներմուծման մաքսատուրքերի /համարժեք այլ տուրքերի, հարկերի և հավաքագրումների/ գումարների հաշվեգրման և բաշխման, դրանք, որպես եկամուտ, բյուջեներ փոխանցման վերաբերյալ համատեղ հսկողական միջոցառումներ:</w:t>
            </w:r>
          </w:p>
        </w:tc>
        <w:tc>
          <w:tcPr>
            <w:tcW w:w="2693" w:type="dxa"/>
            <w:tcBorders>
              <w:bottom w:val="single" w:sz="4" w:space="0" w:color="1F4E79"/>
            </w:tcBorders>
          </w:tcPr>
          <w:p w14:paraId="07CAEDD8" w14:textId="0768FF4E" w:rsidR="00BC32B6" w:rsidRPr="00752793" w:rsidRDefault="00BC32B6" w:rsidP="00BC32B6">
            <w:pPr>
              <w:spacing w:line="240" w:lineRule="auto"/>
              <w:ind w:firstLine="0"/>
              <w:rPr>
                <w:rFonts w:ascii="GHEA Grapalat" w:hAnsi="GHEA Grapalat" w:cstheme="minorBidi"/>
                <w:sz w:val="24"/>
                <w:szCs w:val="24"/>
              </w:rPr>
            </w:pPr>
            <w:r w:rsidRPr="00752793">
              <w:rPr>
                <w:rFonts w:ascii="GHEA Grapalat" w:hAnsi="GHEA Grapalat" w:cstheme="minorBidi"/>
              </w:rPr>
              <w:t>Հաղորդակցության և արարողակարգի բաժին</w:t>
            </w:r>
          </w:p>
        </w:tc>
        <w:tc>
          <w:tcPr>
            <w:tcW w:w="1843" w:type="dxa"/>
            <w:tcBorders>
              <w:bottom w:val="single" w:sz="4" w:space="0" w:color="1F4E79"/>
            </w:tcBorders>
          </w:tcPr>
          <w:p w14:paraId="0F133F2E" w14:textId="77777777" w:rsidR="00BC32B6" w:rsidRPr="00752793" w:rsidRDefault="00BC32B6" w:rsidP="00BC32B6">
            <w:pPr>
              <w:spacing w:line="240" w:lineRule="auto"/>
              <w:ind w:firstLine="0"/>
              <w:rPr>
                <w:rFonts w:ascii="GHEA Grapalat" w:hAnsi="GHEA Grapalat" w:cstheme="minorBidi"/>
                <w:sz w:val="24"/>
                <w:szCs w:val="24"/>
              </w:rPr>
            </w:pPr>
            <w:r w:rsidRPr="00752793">
              <w:rPr>
                <w:rFonts w:ascii="GHEA Grapalat" w:hAnsi="GHEA Grapalat" w:cstheme="minorBidi"/>
              </w:rPr>
              <w:t>2026թ.</w:t>
            </w:r>
          </w:p>
        </w:tc>
      </w:tr>
      <w:tr w:rsidR="00BC32B6" w:rsidRPr="00752793" w14:paraId="524169AC" w14:textId="77777777" w:rsidTr="00866885">
        <w:tblPrEx>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PrEx>
        <w:trPr>
          <w:cantSplit/>
          <w:trHeight w:val="534"/>
          <w:tblHeader/>
        </w:trPr>
        <w:tc>
          <w:tcPr>
            <w:tcW w:w="14034" w:type="dxa"/>
            <w:gridSpan w:val="6"/>
            <w:tcBorders>
              <w:top w:val="single" w:sz="4" w:space="0" w:color="1F4E79"/>
              <w:left w:val="nil"/>
              <w:right w:val="nil"/>
            </w:tcBorders>
            <w:shd w:val="clear" w:color="auto" w:fill="auto"/>
            <w:vAlign w:val="center"/>
          </w:tcPr>
          <w:p w14:paraId="2A27C1C5" w14:textId="77777777" w:rsidR="00BC32B6" w:rsidRPr="00443956" w:rsidRDefault="00BC32B6" w:rsidP="00BC32B6">
            <w:pPr>
              <w:keepNext/>
              <w:keepLines/>
              <w:spacing w:before="480" w:after="360"/>
              <w:ind w:firstLine="0"/>
              <w:jc w:val="left"/>
              <w:rPr>
                <w:rFonts w:ascii="GHEA Grapalat" w:hAnsi="GHEA Grapalat"/>
                <w:b/>
                <w:bCs/>
                <w:color w:val="806000" w:themeColor="accent4" w:themeShade="80"/>
                <w:sz w:val="24"/>
                <w:szCs w:val="24"/>
              </w:rPr>
            </w:pPr>
            <w:r w:rsidRPr="00443956">
              <w:rPr>
                <w:rFonts w:ascii="GHEA Grapalat" w:hAnsi="GHEA Grapalat"/>
                <w:b/>
                <w:bCs/>
                <w:color w:val="806000" w:themeColor="accent4" w:themeShade="80"/>
              </w:rPr>
              <w:lastRenderedPageBreak/>
              <w:t>3-ՐԴ ԲԱԺԻՆ - ՀԱՇՎԵՔՆՆԻՉ ՊԱԼԱՏԻ ԶԱՐԳԱՑՄԱՆ ԾՐԱԳՐԵՐՈՎ ՆԱԽԱՏԵՍՎԱԾ ՄԻՋՈՑԱՌՈՒՄՆԵՐ</w:t>
            </w:r>
          </w:p>
        </w:tc>
      </w:tr>
      <w:tr w:rsidR="00BC32B6" w:rsidRPr="00752793" w14:paraId="5E30EA6A" w14:textId="77777777" w:rsidTr="00866885">
        <w:tblPrEx>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PrEx>
        <w:trPr>
          <w:cantSplit/>
          <w:trHeight w:val="600"/>
          <w:tblHeader/>
        </w:trPr>
        <w:tc>
          <w:tcPr>
            <w:tcW w:w="566" w:type="dxa"/>
            <w:shd w:val="clear" w:color="auto" w:fill="D9E2F3" w:themeFill="accent5" w:themeFillTint="33"/>
            <w:vAlign w:val="center"/>
          </w:tcPr>
          <w:p w14:paraId="327FD3C9" w14:textId="77777777" w:rsidR="00BC32B6" w:rsidRPr="00752793" w:rsidRDefault="00BC32B6" w:rsidP="00BC32B6">
            <w:pPr>
              <w:spacing w:line="240" w:lineRule="auto"/>
              <w:ind w:firstLine="0"/>
              <w:jc w:val="center"/>
              <w:rPr>
                <w:rFonts w:ascii="GHEA Grapalat" w:hAnsi="GHEA Grapalat" w:cstheme="minorBidi"/>
                <w:b/>
                <w:bCs/>
                <w:sz w:val="24"/>
                <w:szCs w:val="24"/>
              </w:rPr>
            </w:pPr>
            <w:r w:rsidRPr="00752793">
              <w:rPr>
                <w:rFonts w:ascii="GHEA Grapalat" w:hAnsi="GHEA Grapalat" w:cstheme="minorBidi"/>
                <w:b/>
                <w:bCs/>
              </w:rPr>
              <w:t>N</w:t>
            </w:r>
          </w:p>
        </w:tc>
        <w:tc>
          <w:tcPr>
            <w:tcW w:w="8932" w:type="dxa"/>
            <w:gridSpan w:val="3"/>
            <w:shd w:val="clear" w:color="auto" w:fill="D9E2F3" w:themeFill="accent5" w:themeFillTint="33"/>
            <w:vAlign w:val="center"/>
          </w:tcPr>
          <w:p w14:paraId="6CEC99DD" w14:textId="77777777" w:rsidR="00BC32B6" w:rsidRPr="00752793" w:rsidRDefault="00BC32B6" w:rsidP="00BC32B6">
            <w:pPr>
              <w:spacing w:line="240" w:lineRule="auto"/>
              <w:ind w:firstLine="0"/>
              <w:jc w:val="center"/>
              <w:rPr>
                <w:rFonts w:ascii="GHEA Grapalat" w:hAnsi="GHEA Grapalat" w:cstheme="minorBidi"/>
                <w:b/>
                <w:bCs/>
                <w:sz w:val="24"/>
                <w:szCs w:val="24"/>
              </w:rPr>
            </w:pPr>
            <w:r w:rsidRPr="00752793">
              <w:rPr>
                <w:rFonts w:ascii="GHEA Grapalat" w:hAnsi="GHEA Grapalat" w:cstheme="minorBidi"/>
                <w:b/>
                <w:bCs/>
              </w:rPr>
              <w:t>ԱՆՎԱՆՈՒՄԸ</w:t>
            </w:r>
          </w:p>
        </w:tc>
        <w:tc>
          <w:tcPr>
            <w:tcW w:w="2693" w:type="dxa"/>
            <w:shd w:val="clear" w:color="auto" w:fill="D9E2F3" w:themeFill="accent5" w:themeFillTint="33"/>
            <w:vAlign w:val="center"/>
          </w:tcPr>
          <w:p w14:paraId="4BD796F0" w14:textId="77777777" w:rsidR="00BC32B6" w:rsidRPr="00752793" w:rsidRDefault="00BC32B6" w:rsidP="00BC32B6">
            <w:pPr>
              <w:spacing w:line="240" w:lineRule="auto"/>
              <w:ind w:firstLine="0"/>
              <w:jc w:val="center"/>
              <w:rPr>
                <w:rFonts w:ascii="GHEA Grapalat" w:hAnsi="GHEA Grapalat" w:cstheme="minorBidi"/>
                <w:b/>
                <w:bCs/>
                <w:sz w:val="24"/>
                <w:szCs w:val="24"/>
              </w:rPr>
            </w:pPr>
            <w:r w:rsidRPr="00752793">
              <w:rPr>
                <w:rFonts w:ascii="GHEA Grapalat" w:hAnsi="GHEA Grapalat" w:cstheme="minorBidi"/>
                <w:b/>
                <w:bCs/>
              </w:rPr>
              <w:t>ՊԱՏԱՍԽԱՆԱՏՈՒ ՍՏՈՐԱԲԱԺԱՆՈՒՄԸ</w:t>
            </w:r>
          </w:p>
        </w:tc>
        <w:tc>
          <w:tcPr>
            <w:tcW w:w="1843" w:type="dxa"/>
            <w:shd w:val="clear" w:color="auto" w:fill="D9E2F3" w:themeFill="accent5" w:themeFillTint="33"/>
            <w:vAlign w:val="center"/>
          </w:tcPr>
          <w:p w14:paraId="28C66582" w14:textId="77777777" w:rsidR="00BC32B6" w:rsidRPr="00752793" w:rsidRDefault="00BC32B6" w:rsidP="00BC32B6">
            <w:pPr>
              <w:spacing w:line="240" w:lineRule="auto"/>
              <w:ind w:firstLine="0"/>
              <w:jc w:val="center"/>
              <w:rPr>
                <w:rFonts w:ascii="GHEA Grapalat" w:hAnsi="GHEA Grapalat" w:cstheme="minorBidi"/>
                <w:b/>
                <w:bCs/>
                <w:sz w:val="24"/>
                <w:szCs w:val="24"/>
              </w:rPr>
            </w:pPr>
            <w:r w:rsidRPr="00752793">
              <w:rPr>
                <w:rFonts w:ascii="GHEA Grapalat" w:hAnsi="GHEA Grapalat" w:cstheme="minorBidi"/>
                <w:b/>
                <w:bCs/>
              </w:rPr>
              <w:t>ԻՐԱԿԱՆԱՑՄԱՆ ԺԱՄԿԵՏԸ</w:t>
            </w:r>
          </w:p>
        </w:tc>
      </w:tr>
      <w:tr w:rsidR="00BC32B6" w:rsidRPr="00752793" w14:paraId="265A9E45" w14:textId="77777777" w:rsidTr="00866885">
        <w:tblPrEx>
          <w:tblBorders>
            <w:top w:val="single" w:sz="4" w:space="0" w:color="1F4E79"/>
            <w:left w:val="single" w:sz="4" w:space="0" w:color="1F4E79"/>
            <w:bottom w:val="single" w:sz="4" w:space="0" w:color="1F4E79"/>
            <w:right w:val="single" w:sz="4" w:space="0" w:color="1F4E79"/>
            <w:insideH w:val="single" w:sz="4" w:space="0" w:color="1F4E79"/>
            <w:insideV w:val="single" w:sz="4" w:space="0" w:color="1F4E79"/>
          </w:tblBorders>
        </w:tblPrEx>
        <w:trPr>
          <w:trHeight w:val="269"/>
        </w:trPr>
        <w:tc>
          <w:tcPr>
            <w:tcW w:w="566" w:type="dxa"/>
          </w:tcPr>
          <w:p w14:paraId="159DDB92" w14:textId="77777777" w:rsidR="00BC32B6" w:rsidRPr="00752793" w:rsidRDefault="00BC32B6" w:rsidP="00BC32B6">
            <w:pPr>
              <w:ind w:firstLine="0"/>
              <w:jc w:val="left"/>
              <w:rPr>
                <w:rFonts w:ascii="GHEA Grapalat" w:hAnsi="GHEA Grapalat"/>
                <w:sz w:val="24"/>
                <w:szCs w:val="24"/>
              </w:rPr>
            </w:pPr>
            <w:r w:rsidRPr="00752793">
              <w:rPr>
                <w:rFonts w:ascii="GHEA Grapalat" w:hAnsi="GHEA Grapalat" w:cstheme="minorBidi"/>
              </w:rPr>
              <w:t>1</w:t>
            </w:r>
            <w:r w:rsidRPr="00752793">
              <w:rPr>
                <w:rFonts w:ascii="Cambria Math" w:hAnsi="Cambria Math" w:cs="Cambria Math"/>
              </w:rPr>
              <w:t>․</w:t>
            </w:r>
          </w:p>
        </w:tc>
        <w:tc>
          <w:tcPr>
            <w:tcW w:w="8932" w:type="dxa"/>
            <w:gridSpan w:val="3"/>
          </w:tcPr>
          <w:p w14:paraId="63FD3B91" w14:textId="77777777" w:rsidR="00BC32B6" w:rsidRPr="00752793" w:rsidRDefault="00BC32B6" w:rsidP="00BC32B6">
            <w:pPr>
              <w:ind w:firstLine="0"/>
              <w:jc w:val="left"/>
              <w:rPr>
                <w:rFonts w:ascii="GHEA Grapalat" w:hAnsi="GHEA Grapalat" w:cs="Calibri"/>
                <w:sz w:val="24"/>
                <w:szCs w:val="24"/>
              </w:rPr>
            </w:pPr>
            <w:r w:rsidRPr="00752793">
              <w:rPr>
                <w:rFonts w:ascii="GHEA Grapalat" w:hAnsi="GHEA Grapalat" w:cstheme="minorBidi"/>
              </w:rPr>
              <w:t>Հաշվեքննիչ պալատի 2026-2032 թվականների ռազմավարական զարգացման ծրագրի և դրա իրականացման միջոցառումների պլանին համաձայն՝ 2026 թվականին նախատեսված միջոցառումների իրականացում:</w:t>
            </w:r>
          </w:p>
        </w:tc>
        <w:tc>
          <w:tcPr>
            <w:tcW w:w="2693" w:type="dxa"/>
          </w:tcPr>
          <w:p w14:paraId="04E3071E" w14:textId="77777777" w:rsidR="00BC32B6" w:rsidRPr="00752793" w:rsidRDefault="00BC32B6" w:rsidP="00BC32B6">
            <w:pPr>
              <w:ind w:firstLine="0"/>
              <w:jc w:val="left"/>
              <w:rPr>
                <w:rFonts w:ascii="GHEA Grapalat" w:hAnsi="GHEA Grapalat"/>
                <w:sz w:val="24"/>
                <w:szCs w:val="24"/>
              </w:rPr>
            </w:pPr>
            <w:r w:rsidRPr="00752793">
              <w:rPr>
                <w:rFonts w:ascii="GHEA Grapalat" w:hAnsi="GHEA Grapalat" w:cstheme="minorBidi"/>
              </w:rPr>
              <w:t>Մեթոդաբանության և տեղեկատվական տեխնոլոգիաների վարչություն</w:t>
            </w:r>
          </w:p>
        </w:tc>
        <w:tc>
          <w:tcPr>
            <w:tcW w:w="1843" w:type="dxa"/>
          </w:tcPr>
          <w:p w14:paraId="1494AA6C" w14:textId="77777777" w:rsidR="00BC32B6" w:rsidRPr="00752793" w:rsidRDefault="00BC32B6" w:rsidP="00BC32B6">
            <w:pPr>
              <w:ind w:firstLine="0"/>
              <w:jc w:val="left"/>
              <w:rPr>
                <w:rFonts w:ascii="GHEA Grapalat" w:hAnsi="GHEA Grapalat"/>
                <w:sz w:val="24"/>
                <w:szCs w:val="24"/>
              </w:rPr>
            </w:pPr>
            <w:r w:rsidRPr="00752793">
              <w:rPr>
                <w:rFonts w:ascii="GHEA Grapalat" w:hAnsi="GHEA Grapalat" w:cstheme="minorBidi"/>
              </w:rPr>
              <w:t>2026թ.</w:t>
            </w:r>
          </w:p>
        </w:tc>
      </w:tr>
    </w:tbl>
    <w:p w14:paraId="6461AD09" w14:textId="77777777" w:rsidR="00E2061A" w:rsidRPr="00752793" w:rsidRDefault="00E2061A" w:rsidP="00866885">
      <w:pPr>
        <w:ind w:left="927" w:firstLine="0"/>
        <w:rPr>
          <w:b/>
          <w:bCs/>
        </w:rPr>
        <w:sectPr w:rsidR="00E2061A" w:rsidRPr="00752793" w:rsidSect="00866885">
          <w:headerReference w:type="default" r:id="rId18"/>
          <w:footerReference w:type="default" r:id="rId19"/>
          <w:pgSz w:w="15840" w:h="12240" w:orient="landscape"/>
          <w:pgMar w:top="993" w:right="426" w:bottom="616" w:left="426" w:header="720" w:footer="514" w:gutter="0"/>
          <w:cols w:space="720"/>
          <w:docGrid w:linePitch="360"/>
        </w:sectPr>
      </w:pPr>
    </w:p>
    <w:p w14:paraId="10CB7B8B" w14:textId="0EEE059B" w:rsidR="00DC32E9" w:rsidRPr="00752793" w:rsidRDefault="0090651D" w:rsidP="00866885">
      <w:pPr>
        <w:pStyle w:val="Subtitle"/>
        <w:spacing w:after="480"/>
        <w:ind w:firstLine="0"/>
        <w:jc w:val="left"/>
        <w:rPr>
          <w:sz w:val="26"/>
          <w:szCs w:val="26"/>
        </w:rPr>
      </w:pPr>
      <w:bookmarkStart w:id="5" w:name="_Toc216079278"/>
      <w:r w:rsidRPr="00443956">
        <w:rPr>
          <w:sz w:val="26"/>
          <w:szCs w:val="26"/>
        </w:rPr>
        <w:lastRenderedPageBreak/>
        <w:t xml:space="preserve">ԳՈՐԾՈՒՆԵՈՒԹՅԱՆ </w:t>
      </w:r>
      <w:r w:rsidR="00325EEA" w:rsidRPr="00443956">
        <w:rPr>
          <w:sz w:val="26"/>
          <w:szCs w:val="26"/>
        </w:rPr>
        <w:t>ԾՐԱԳՐՈՒՄ ՆԵՐԱՌՎԱԾ ՀԱՇՎԵՔՆՆՈՒԹՅԱՆ ԹԵՄԱՆԵՐԻ ԵՎ ՄԻՋՈՑԱՌՈՒՄՆԵՐԻ</w:t>
      </w:r>
      <w:r w:rsidRPr="00443956">
        <w:rPr>
          <w:sz w:val="26"/>
          <w:szCs w:val="26"/>
        </w:rPr>
        <w:t xml:space="preserve"> ՀԻՄՆԱՎՈՐՈՒՄ</w:t>
      </w:r>
      <w:r w:rsidR="002A77C6" w:rsidRPr="00443956">
        <w:rPr>
          <w:sz w:val="26"/>
          <w:szCs w:val="26"/>
        </w:rPr>
        <w:t>ՆԵՐ</w:t>
      </w:r>
      <w:r w:rsidRPr="00443956">
        <w:rPr>
          <w:sz w:val="26"/>
          <w:szCs w:val="26"/>
        </w:rPr>
        <w:t>Ը</w:t>
      </w:r>
      <w:bookmarkEnd w:id="5"/>
    </w:p>
    <w:p w14:paraId="048AE005" w14:textId="596FF498" w:rsidR="001D5AF9" w:rsidRPr="00752793" w:rsidRDefault="0090651D">
      <w:pPr>
        <w:pStyle w:val="Heading4"/>
      </w:pPr>
      <w:r w:rsidRPr="00752793">
        <w:t>1-</w:t>
      </w:r>
      <w:r w:rsidR="00A8628B" w:rsidRPr="00752793">
        <w:t xml:space="preserve">ԻՆ </w:t>
      </w:r>
      <w:r w:rsidRPr="00752793">
        <w:t>ԲԱԺԻՆ</w:t>
      </w:r>
    </w:p>
    <w:p w14:paraId="211C07B0" w14:textId="1332FB95" w:rsidR="00DC32E9" w:rsidRPr="00752793" w:rsidRDefault="00DC32E9">
      <w:pPr>
        <w:pStyle w:val="Heading3"/>
      </w:pPr>
      <w:bookmarkStart w:id="6" w:name="_Toc216079279"/>
      <w:r w:rsidRPr="00752793">
        <w:t>ՀՀ 2026 թվականի պետական բյուջեի կատարման հաշվեքննություն</w:t>
      </w:r>
      <w:bookmarkEnd w:id="6"/>
    </w:p>
    <w:p w14:paraId="4B5FB8B6" w14:textId="77777777" w:rsidR="00DC32E9" w:rsidRPr="00752793" w:rsidRDefault="00DC32E9" w:rsidP="00866885">
      <w:pPr>
        <w:keepNext/>
        <w:keepLines/>
        <w:spacing w:before="240" w:after="360"/>
        <w:rPr>
          <w:rStyle w:val="IntenseEmphasis"/>
          <w:b w:val="0"/>
          <w:bCs/>
          <w:sz w:val="26"/>
        </w:rPr>
      </w:pPr>
      <w:r w:rsidRPr="00752793">
        <w:rPr>
          <w:rStyle w:val="IntenseEmphasis"/>
        </w:rPr>
        <w:t>Ծրագրի 1-ին կետ՝ պետական բյուջեի կատարման գնահատում</w:t>
      </w:r>
    </w:p>
    <w:p w14:paraId="117D5FBA" w14:textId="25908E51" w:rsidR="00DC32E9" w:rsidRPr="00752793" w:rsidRDefault="00DC32E9" w:rsidP="00856E20">
      <w:r w:rsidRPr="00752793">
        <w:t>Պետական բյուջեի կատարման վերաբերյալ Հաշվեքննիչ պալատի եզրակացությունը (ներառյալ՝ հաշվեքննության կարծիքը) ձևավորելու կարգավորումները ներդաշնակ են միջազգային ստանդարտներին</w:t>
      </w:r>
      <w:r w:rsidRPr="00752793">
        <w:rPr>
          <w:rStyle w:val="FootnoteReference"/>
        </w:rPr>
        <w:footnoteReference w:id="13"/>
      </w:r>
      <w:r w:rsidRPr="00752793">
        <w:t xml:space="preserve"> և ըստ այդմ. </w:t>
      </w:r>
    </w:p>
    <w:p w14:paraId="11CE1AD8" w14:textId="77777777" w:rsidR="00DC32E9" w:rsidRPr="00443956" w:rsidRDefault="00DC32E9">
      <w:pPr>
        <w:pStyle w:val="ListParagraph"/>
        <w:numPr>
          <w:ilvl w:val="0"/>
          <w:numId w:val="7"/>
        </w:numPr>
        <w:rPr>
          <w:lang w:val="hy-AM"/>
        </w:rPr>
      </w:pPr>
      <w:r w:rsidRPr="00443956">
        <w:rPr>
          <w:lang w:val="hy-AM"/>
        </w:rPr>
        <w:t>հաշվեքննության առարկան պետական բյուջեի կատարումն է որպես մեկ միավոր,</w:t>
      </w:r>
    </w:p>
    <w:p w14:paraId="2AE893C2" w14:textId="77777777" w:rsidR="00DC32E9" w:rsidRPr="00443956" w:rsidRDefault="00DC32E9">
      <w:pPr>
        <w:pStyle w:val="ListParagraph"/>
        <w:numPr>
          <w:ilvl w:val="0"/>
          <w:numId w:val="7"/>
        </w:numPr>
        <w:rPr>
          <w:lang w:val="hy-AM"/>
        </w:rPr>
      </w:pPr>
      <w:r w:rsidRPr="00443956">
        <w:rPr>
          <w:lang w:val="hy-AM"/>
        </w:rPr>
        <w:t>հաշվեքննության են ենթակա բյուջետային ծրագրերի բոլոր պատասխանատուները՝ բյուջետային հատկացումների կարգադրիչները</w:t>
      </w:r>
      <w:r w:rsidRPr="00752793">
        <w:rPr>
          <w:vertAlign w:val="superscript"/>
        </w:rPr>
        <w:footnoteReference w:id="14"/>
      </w:r>
      <w:r w:rsidRPr="00443956">
        <w:rPr>
          <w:lang w:val="hy-AM"/>
        </w:rPr>
        <w:t>։</w:t>
      </w:r>
    </w:p>
    <w:p w14:paraId="3779314D" w14:textId="77777777" w:rsidR="00DC32E9" w:rsidRPr="00752793" w:rsidRDefault="00DC32E9" w:rsidP="00856E20">
      <w:pPr>
        <w:rPr>
          <w:rFonts w:eastAsiaTheme="minorEastAsia"/>
        </w:rPr>
      </w:pPr>
      <w:r w:rsidRPr="00752793">
        <w:t>Պետական բյուջեի կատարման վերաբերյալ եզրակացությունը կազմվում է ֆինանսական հաշվեքննության միջոցով՝ օգտագործելով այդ տարվա պետական բյուջեի երեք, վեց և ինն ամիսների կատարման ֆինանսական հաշվեքննության (այսուհետ՝ եռամսյակային հաշվեքննություն) ընթացիկ եզրակացությունները</w:t>
      </w:r>
      <w:r w:rsidRPr="00752793">
        <w:rPr>
          <w:rStyle w:val="FootnoteReference"/>
        </w:rPr>
        <w:footnoteReference w:id="15"/>
      </w:r>
      <w:r w:rsidRPr="00752793">
        <w:t>:</w:t>
      </w:r>
    </w:p>
    <w:p w14:paraId="3F6516D0" w14:textId="77777777" w:rsidR="00DC32E9" w:rsidRPr="00752793" w:rsidRDefault="00DC32E9" w:rsidP="00856E20">
      <w:pPr>
        <w:rPr>
          <w:rFonts w:eastAsiaTheme="minorEastAsia"/>
        </w:rPr>
      </w:pPr>
      <w:r w:rsidRPr="00752793">
        <w:t>Եռամսյակային հաշվեքննությունների հիման վրա կազմվում են ընթացիկ եզրակացություններ</w:t>
      </w:r>
      <w:r w:rsidRPr="00752793">
        <w:rPr>
          <w:rStyle w:val="FootnoteReference"/>
        </w:rPr>
        <w:footnoteReference w:id="16"/>
      </w:r>
      <w:r w:rsidRPr="00752793">
        <w:t>, որոնցում ամփոփվում են պետական բյուջեի տարեկան կատարման ֆինանսական հաշվեքննության միջանկյալ արդյունքները։</w:t>
      </w:r>
    </w:p>
    <w:p w14:paraId="2428FA1D" w14:textId="4EFEDF73" w:rsidR="00DC32E9" w:rsidRPr="00752793" w:rsidRDefault="00DC32E9" w:rsidP="00856E20">
      <w:r w:rsidRPr="00752793">
        <w:t>Հաշվի առնելով, որ պետական բյուջեի կատարման վերաբերյալ եզրակացության ձևավորումն անընդհատ գործընթաց է և տեղի է ունենում 2026</w:t>
      </w:r>
      <w:r w:rsidR="006F50ED" w:rsidRPr="00752793">
        <w:t>,</w:t>
      </w:r>
      <w:r w:rsidRPr="00752793">
        <w:t xml:space="preserve"> 2027 թվականներին իրականացվող հաշվեքննությունների միջոցով, գործունեության ծրագրի այս կետի կատարման ժամկետը </w:t>
      </w:r>
      <w:r w:rsidR="006F50ED" w:rsidRPr="00752793">
        <w:t xml:space="preserve">սահմանված </w:t>
      </w:r>
      <w:r w:rsidRPr="00752793">
        <w:t>է 2026-2027 թվականներ</w:t>
      </w:r>
      <w:r w:rsidRPr="00752793">
        <w:rPr>
          <w:rStyle w:val="FootnoteReference"/>
        </w:rPr>
        <w:footnoteReference w:id="17"/>
      </w:r>
      <w:r w:rsidRPr="00752793">
        <w:t>։</w:t>
      </w:r>
    </w:p>
    <w:p w14:paraId="2448F94E" w14:textId="39280B25" w:rsidR="00DC32E9" w:rsidRPr="00752793" w:rsidRDefault="00793773" w:rsidP="00856E20">
      <w:pPr>
        <w:pStyle w:val="Subtitle"/>
        <w:rPr>
          <w:sz w:val="22"/>
        </w:rPr>
      </w:pPr>
      <w:bookmarkStart w:id="7" w:name="_Toc216079280"/>
      <w:r w:rsidRPr="00443956">
        <w:lastRenderedPageBreak/>
        <w:t>Թ</w:t>
      </w:r>
      <w:r w:rsidRPr="00752793">
        <w:t>եմատիկ հաշվեքննություններ</w:t>
      </w:r>
      <w:r w:rsidR="00DC32E9" w:rsidRPr="00752793">
        <w:rPr>
          <w:rStyle w:val="FootnoteReference"/>
          <w:sz w:val="22"/>
          <w:szCs w:val="22"/>
        </w:rPr>
        <w:footnoteReference w:id="18"/>
      </w:r>
      <w:bookmarkEnd w:id="7"/>
    </w:p>
    <w:p w14:paraId="38A63508" w14:textId="77777777" w:rsidR="00DC32E9" w:rsidRPr="00752793" w:rsidRDefault="00DC32E9" w:rsidP="00856E20">
      <w:r w:rsidRPr="00752793">
        <w:t>Գործունեության ծրագրում թեմատիկ հաշվեքննությունները նախատեսվել են Հաշվեքննության 2026-2028 թվականների առաջնահերթությունների և գործունեության ծրագիրը կազմելու ռիսկերի մեթոդաբանության</w:t>
      </w:r>
      <w:r w:rsidRPr="00752793">
        <w:rPr>
          <w:rStyle w:val="FootnoteReference"/>
        </w:rPr>
        <w:footnoteReference w:id="19"/>
      </w:r>
      <w:r w:rsidRPr="00752793">
        <w:t xml:space="preserve"> հիման վրա։ </w:t>
      </w:r>
    </w:p>
    <w:p w14:paraId="5B4D56F6" w14:textId="77777777" w:rsidR="00DC32E9" w:rsidRPr="00752793" w:rsidRDefault="00DC32E9" w:rsidP="00856E20">
      <w:r w:rsidRPr="00752793">
        <w:t>Հաշվեքննության 2026-2028 թվականների առաջնահերթությունների հիման վրա՝ Հաշվեքննիչ պալատի 2026 թվականի գործունեության ծրագրում կատարողականի հաշվեքննության թեմաների ընտրության նպատակով կիրառվել են հետևյալ չափանիշները.</w:t>
      </w:r>
    </w:p>
    <w:p w14:paraId="410DFA27" w14:textId="77777777" w:rsidR="00DC32E9" w:rsidRPr="00443956" w:rsidRDefault="00DC32E9">
      <w:pPr>
        <w:pStyle w:val="ListParagraph"/>
        <w:numPr>
          <w:ilvl w:val="0"/>
          <w:numId w:val="8"/>
        </w:numPr>
        <w:rPr>
          <w:lang w:val="hy-AM"/>
        </w:rPr>
      </w:pPr>
      <w:r w:rsidRPr="00443956">
        <w:rPr>
          <w:lang w:val="hy-AM"/>
        </w:rPr>
        <w:t>հաշվեքննությունը մեկնարկել է Հաշվեքննիչ պալատի 2025 թվականի գործունեության ծրագրով և պետք է շարունակվի 2026 թվականին,</w:t>
      </w:r>
    </w:p>
    <w:p w14:paraId="50427B64" w14:textId="77777777" w:rsidR="00DC32E9" w:rsidRPr="00443956" w:rsidRDefault="00DC32E9">
      <w:pPr>
        <w:pStyle w:val="ListParagraph"/>
        <w:numPr>
          <w:ilvl w:val="0"/>
          <w:numId w:val="8"/>
        </w:numPr>
        <w:rPr>
          <w:lang w:val="hy-AM"/>
        </w:rPr>
      </w:pPr>
      <w:r w:rsidRPr="00443956">
        <w:rPr>
          <w:lang w:val="hy-AM"/>
        </w:rPr>
        <w:t>թեման նախկինում հաշվեքննության չի ենթարկվել,</w:t>
      </w:r>
    </w:p>
    <w:p w14:paraId="21848146" w14:textId="77777777" w:rsidR="00DC32E9" w:rsidRPr="00443956" w:rsidRDefault="00DC32E9">
      <w:pPr>
        <w:pStyle w:val="ListParagraph"/>
        <w:numPr>
          <w:ilvl w:val="0"/>
          <w:numId w:val="8"/>
        </w:numPr>
        <w:rPr>
          <w:lang w:val="hy-AM"/>
        </w:rPr>
      </w:pPr>
      <w:r w:rsidRPr="00443956">
        <w:rPr>
          <w:lang w:val="hy-AM"/>
        </w:rPr>
        <w:t>թեման կարող է ունենալ ազդեցության նշանակալի ներուժ,</w:t>
      </w:r>
    </w:p>
    <w:p w14:paraId="73601B04" w14:textId="77777777" w:rsidR="00DC32E9" w:rsidRPr="00443956" w:rsidRDefault="00DC32E9">
      <w:pPr>
        <w:pStyle w:val="ListParagraph"/>
        <w:numPr>
          <w:ilvl w:val="0"/>
          <w:numId w:val="8"/>
        </w:numPr>
        <w:rPr>
          <w:lang w:val="hy-AM"/>
        </w:rPr>
      </w:pPr>
      <w:r w:rsidRPr="00443956">
        <w:rPr>
          <w:lang w:val="hy-AM"/>
        </w:rPr>
        <w:t>առկա է հաշվեքննության համար տեղեկատվության հասանելիության բավարար մակարդակ,</w:t>
      </w:r>
    </w:p>
    <w:p w14:paraId="48F95852" w14:textId="77777777" w:rsidR="00DC32E9" w:rsidRPr="00443956" w:rsidRDefault="00DC32E9">
      <w:pPr>
        <w:pStyle w:val="ListParagraph"/>
        <w:numPr>
          <w:ilvl w:val="0"/>
          <w:numId w:val="8"/>
        </w:numPr>
        <w:rPr>
          <w:lang w:val="hy-AM"/>
        </w:rPr>
      </w:pPr>
      <w:r w:rsidRPr="00443956">
        <w:rPr>
          <w:lang w:val="hy-AM"/>
        </w:rPr>
        <w:t>հաշվեքննության առարկայի համար օգտագործվել է բյուջետային զգալի ֆինանսավորում,</w:t>
      </w:r>
    </w:p>
    <w:p w14:paraId="20BE22F9" w14:textId="77777777" w:rsidR="00DC32E9" w:rsidRPr="00443956" w:rsidRDefault="00DC32E9">
      <w:pPr>
        <w:pStyle w:val="ListParagraph"/>
        <w:numPr>
          <w:ilvl w:val="0"/>
          <w:numId w:val="8"/>
        </w:numPr>
        <w:rPr>
          <w:lang w:val="hy-AM"/>
        </w:rPr>
      </w:pPr>
      <w:r w:rsidRPr="00443956">
        <w:rPr>
          <w:lang w:val="hy-AM"/>
        </w:rPr>
        <w:t>առկա է բյուջեի ֆինանսական և ոչ ֆինանսական ցուցանիշների բարձր կատարողական,</w:t>
      </w:r>
    </w:p>
    <w:p w14:paraId="3950747D" w14:textId="77777777" w:rsidR="00DC32E9" w:rsidRPr="00443956" w:rsidRDefault="00DC32E9">
      <w:pPr>
        <w:pStyle w:val="ListParagraph"/>
        <w:numPr>
          <w:ilvl w:val="0"/>
          <w:numId w:val="8"/>
        </w:numPr>
        <w:rPr>
          <w:lang w:val="hy-AM"/>
        </w:rPr>
      </w:pPr>
      <w:r w:rsidRPr="00443956">
        <w:rPr>
          <w:lang w:val="hy-AM"/>
        </w:rPr>
        <w:t>առկա է հաշվեքննություն իրականացնելու հանրային պահանջ:</w:t>
      </w:r>
    </w:p>
    <w:p w14:paraId="5E91A491" w14:textId="77777777" w:rsidR="00DC32E9" w:rsidRPr="00752793" w:rsidRDefault="00DC32E9" w:rsidP="00856E20">
      <w:r w:rsidRPr="00752793">
        <w:t>Հաշվեքննիչ պալատի գործունեության ծրագիրը կազմելու կարգի</w:t>
      </w:r>
      <w:r w:rsidRPr="00752793">
        <w:rPr>
          <w:rStyle w:val="FootnoteReference"/>
        </w:rPr>
        <w:footnoteReference w:id="20"/>
      </w:r>
      <w:r w:rsidRPr="00752793">
        <w:t xml:space="preserve"> համաձայն ծրագրում նախատեսվել է իրականացնել 6 կատարողականի, 3 համապատասխանության և մեկ ֆինանսական և համապատասխանության հաշվեքննություն, որոնց ընտրության հիմնավորումները ներկայացվում են ստորև։</w:t>
      </w:r>
    </w:p>
    <w:p w14:paraId="3ED9164D" w14:textId="77777777" w:rsidR="00DC32E9" w:rsidRPr="00443956" w:rsidRDefault="00DC32E9">
      <w:pPr>
        <w:pStyle w:val="Heading3"/>
        <w:rPr>
          <w:lang w:val="hy-AM"/>
        </w:rPr>
      </w:pPr>
      <w:bookmarkStart w:id="8" w:name="_Toc216078341"/>
      <w:bookmarkStart w:id="9" w:name="_Toc216078702"/>
      <w:bookmarkStart w:id="10" w:name="_Toc216078929"/>
      <w:bookmarkStart w:id="11" w:name="_Toc216078996"/>
      <w:bookmarkStart w:id="12" w:name="_Toc216079240"/>
      <w:bookmarkStart w:id="13" w:name="_Toc216079281"/>
      <w:bookmarkStart w:id="14" w:name="_Toc216079290"/>
      <w:bookmarkEnd w:id="8"/>
      <w:bookmarkEnd w:id="9"/>
      <w:bookmarkEnd w:id="10"/>
      <w:bookmarkEnd w:id="11"/>
      <w:bookmarkEnd w:id="12"/>
      <w:bookmarkEnd w:id="13"/>
      <w:r w:rsidRPr="00443956">
        <w:rPr>
          <w:lang w:val="hy-AM"/>
        </w:rPr>
        <w:t>Առողջապահության բնագավառի մասնագիտական կադրային ներուժի տարածքային զարգացման համաչափություն</w:t>
      </w:r>
      <w:r w:rsidRPr="00752793">
        <w:rPr>
          <w:rStyle w:val="FootnoteReference"/>
          <w:sz w:val="22"/>
          <w:szCs w:val="22"/>
        </w:rPr>
        <w:footnoteReference w:id="21"/>
      </w:r>
      <w:bookmarkEnd w:id="14"/>
      <w:r w:rsidRPr="00443956">
        <w:rPr>
          <w:lang w:val="hy-AM"/>
        </w:rPr>
        <w:t xml:space="preserve"> </w:t>
      </w:r>
    </w:p>
    <w:p w14:paraId="293961E3" w14:textId="5AEFF498" w:rsidR="00DC32E9" w:rsidRPr="00752793" w:rsidRDefault="00DC32E9" w:rsidP="00866885">
      <w:pPr>
        <w:keepNext/>
        <w:keepLines/>
        <w:spacing w:before="240" w:after="360"/>
        <w:rPr>
          <w:rStyle w:val="IntenseEmphasis"/>
        </w:rPr>
      </w:pPr>
      <w:r w:rsidRPr="00752793">
        <w:rPr>
          <w:rStyle w:val="IntenseEmphasis"/>
        </w:rPr>
        <w:t>Ծրագրի 2-րդ կետ՝ արդյունավետության գնահատում</w:t>
      </w:r>
    </w:p>
    <w:p w14:paraId="098F5315" w14:textId="2BFE9512" w:rsidR="00DC32E9" w:rsidRPr="00752793" w:rsidRDefault="00DC32E9" w:rsidP="006F50ED">
      <w:r w:rsidRPr="00752793">
        <w:t>Առողջապահական ծառայությունների հասանելիության և որակի տեսակետից բժշկական կադրային ներուժի խիստ անհա</w:t>
      </w:r>
      <w:r w:rsidRPr="00752793">
        <w:softHyphen/>
        <w:t>մա</w:t>
      </w:r>
      <w:r w:rsidRPr="00752793">
        <w:softHyphen/>
        <w:t xml:space="preserve">չափ բաշխվածությունը նշանակալի խնդիր է (10000 բնակչի </w:t>
      </w:r>
      <w:r w:rsidRPr="00752793">
        <w:lastRenderedPageBreak/>
        <w:t>հաշ</w:t>
      </w:r>
      <w:r w:rsidRPr="00752793">
        <w:softHyphen/>
        <w:t>վով ՏՀԶԿ երկրներում բժիշկների թիվը 37 է</w:t>
      </w:r>
      <w:r w:rsidRPr="00752793">
        <w:rPr>
          <w:vertAlign w:val="superscript"/>
        </w:rPr>
        <w:footnoteReference w:id="22"/>
      </w:r>
      <w:r w:rsidRPr="00752793">
        <w:t>, ՀՀ</w:t>
      </w:r>
      <w:r w:rsidRPr="00752793">
        <w:noBreakHyphen/>
        <w:t>ում՝ 51, ընդ որում՝ մայրա</w:t>
      </w:r>
      <w:r w:rsidRPr="00752793">
        <w:softHyphen/>
        <w:t>քա</w:t>
      </w:r>
      <w:r w:rsidRPr="00752793">
        <w:softHyphen/>
        <w:t>ղա</w:t>
      </w:r>
      <w:r w:rsidRPr="00752793">
        <w:softHyphen/>
        <w:t>քում՝ 101, իսկ մարզերում 16-26) և մար</w:t>
      </w:r>
      <w:r w:rsidRPr="00752793">
        <w:softHyphen/>
        <w:t>զերում կադրային թերհագեցվածութ</w:t>
      </w:r>
      <w:r w:rsidRPr="00752793">
        <w:softHyphen/>
        <w:t>յու</w:t>
      </w:r>
      <w:r w:rsidRPr="00752793">
        <w:softHyphen/>
        <w:t>նը (Առողջապահության նախարարության տվյալներով</w:t>
      </w:r>
      <w:r w:rsidRPr="00752793">
        <w:rPr>
          <w:vertAlign w:val="superscript"/>
        </w:rPr>
        <w:footnoteReference w:id="23"/>
      </w:r>
      <w:r w:rsidRPr="00752793">
        <w:t xml:space="preserve"> մարզերում առկա է 268 բուժ</w:t>
      </w:r>
      <w:r w:rsidRPr="00752793">
        <w:softHyphen/>
        <w:t>աշխատողի թափուր հաստիք)</w:t>
      </w:r>
      <w:r w:rsidRPr="00752793">
        <w:rPr>
          <w:vertAlign w:val="superscript"/>
        </w:rPr>
        <w:footnoteReference w:id="24"/>
      </w:r>
      <w:r w:rsidRPr="00752793">
        <w:t xml:space="preserve">։ </w:t>
      </w:r>
    </w:p>
    <w:p w14:paraId="5A72F4DD" w14:textId="77777777" w:rsidR="00DC32E9" w:rsidRPr="00752793" w:rsidRDefault="00DC32E9" w:rsidP="00856E20">
      <w:r w:rsidRPr="00752793">
        <w:rPr>
          <w:rFonts w:eastAsiaTheme="minorEastAsia"/>
        </w:rPr>
        <w:t xml:space="preserve">Թեման </w:t>
      </w:r>
      <w:r w:rsidRPr="00752793">
        <w:t xml:space="preserve">մեկնարկել է </w:t>
      </w:r>
      <w:r w:rsidRPr="00752793">
        <w:rPr>
          <w:rFonts w:eastAsiaTheme="minorEastAsia"/>
        </w:rPr>
        <w:t>Հաշվեքննիչ</w:t>
      </w:r>
      <w:r w:rsidRPr="00752793">
        <w:t xml:space="preserve"> պալատի 2025 թվականի գործունեության ծրագրի շրջանակում և նախատեսվում է ավարտել 2026 թվականին։</w:t>
      </w:r>
    </w:p>
    <w:p w14:paraId="3F168579" w14:textId="77777777" w:rsidR="00DC32E9" w:rsidRPr="00752793" w:rsidRDefault="00DC32E9" w:rsidP="006F50ED">
      <w:pPr>
        <w:pStyle w:val="Heading3"/>
        <w:ind w:left="0" w:firstLine="0"/>
      </w:pPr>
      <w:bookmarkStart w:id="15" w:name="_Toc216079291"/>
      <w:r w:rsidRPr="00752793">
        <w:t>Հողերի կոնսոլիդացում</w:t>
      </w:r>
      <w:r w:rsidRPr="00443956">
        <w:rPr>
          <w:b w:val="0"/>
          <w:bCs w:val="0"/>
          <w:sz w:val="24"/>
          <w:szCs w:val="24"/>
          <w:vertAlign w:val="superscript"/>
        </w:rPr>
        <w:footnoteReference w:id="25"/>
      </w:r>
      <w:bookmarkEnd w:id="15"/>
    </w:p>
    <w:p w14:paraId="5E0B55B6" w14:textId="77777777" w:rsidR="00DC32E9" w:rsidRPr="00752793" w:rsidRDefault="00DC32E9" w:rsidP="00866885">
      <w:pPr>
        <w:keepNext/>
        <w:keepLines/>
        <w:spacing w:before="240" w:after="360"/>
        <w:rPr>
          <w:rStyle w:val="IntenseEmphasis"/>
        </w:rPr>
      </w:pPr>
      <w:r w:rsidRPr="00752793">
        <w:rPr>
          <w:rStyle w:val="IntenseEmphasis"/>
        </w:rPr>
        <w:t>Ծրագրի 3-րդ կետ՝ արդյունավետության գնահատում</w:t>
      </w:r>
    </w:p>
    <w:p w14:paraId="0F55AE0A" w14:textId="6216F55A" w:rsidR="00DC32E9" w:rsidRPr="00752793" w:rsidRDefault="00DC32E9" w:rsidP="00856E20">
      <w:r w:rsidRPr="00752793">
        <w:t>Տնտեսության արտահանման ներուժ ունեցող գյուղատնտեսության նշանակալի հիմ</w:t>
      </w:r>
      <w:r w:rsidRPr="00752793">
        <w:softHyphen/>
        <w:t>նախնդիրը շարունակում է մնալ գյուղա</w:t>
      </w:r>
      <w:r w:rsidRPr="00752793">
        <w:softHyphen/>
        <w:t>ցիական տնտեսությունների փոքր չափերը։ Ըստ վիճակագրական տվյալների շուրջ 346 հազ. տնտեսություններից յուրա</w:t>
      </w:r>
      <w:r w:rsidRPr="00752793">
        <w:softHyphen/>
        <w:t>քանչ</w:t>
      </w:r>
      <w:r w:rsidRPr="00752793">
        <w:softHyphen/>
        <w:t>յուրին միջինում բաժին է ընկնում 1.48 հա հողատարածք։ Ընդ որում, առկա  է նաև միջին ցուցանիշների անհամաչափ բաշխում ըստ մարզերի՝ Արարատի մարզում՝ 0.72 հա-ից մինչև Շի</w:t>
      </w:r>
      <w:r w:rsidRPr="00752793">
        <w:softHyphen/>
        <w:t>րակի մարզում՝ 2.54 հա-ի միջակայքում</w:t>
      </w:r>
      <w:r w:rsidRPr="00752793">
        <w:rPr>
          <w:vertAlign w:val="superscript"/>
        </w:rPr>
        <w:footnoteReference w:id="26"/>
      </w:r>
      <w:r w:rsidRPr="00752793">
        <w:t>։ Բացի այդ, առարկայական խնդիր է նաև հողերի մասնատվածությունը՝ գյուղա</w:t>
      </w:r>
      <w:r w:rsidRPr="00752793">
        <w:softHyphen/>
        <w:t>ցիա</w:t>
      </w:r>
      <w:r w:rsidRPr="00752793">
        <w:softHyphen/>
        <w:t>կան տնտեսությունների 45%-ը կազմված է 3 և ավելի, իսկ 20%-ը՝ 5 և ավելի հողամասե</w:t>
      </w:r>
      <w:r w:rsidRPr="00752793">
        <w:softHyphen/>
        <w:t>րից։ Այդ պայմաններում ցածր է աշ</w:t>
      </w:r>
      <w:r w:rsidRPr="00752793">
        <w:softHyphen/>
        <w:t>խա</w:t>
      </w:r>
      <w:r w:rsidRPr="00752793">
        <w:softHyphen/>
        <w:t>տան</w:t>
      </w:r>
      <w:r w:rsidRPr="00752793">
        <w:softHyphen/>
        <w:t>քի արտադրողականությունն ու գյու</w:t>
      </w:r>
      <w:r w:rsidRPr="00752793">
        <w:softHyphen/>
        <w:t>ղա</w:t>
      </w:r>
      <w:r w:rsidRPr="00752793">
        <w:softHyphen/>
        <w:t>տնտե</w:t>
      </w:r>
      <w:r w:rsidRPr="00752793">
        <w:softHyphen/>
        <w:t>սական արտադրանքի ապ</w:t>
      </w:r>
      <w:r w:rsidRPr="00752793">
        <w:softHyphen/>
        <w:t>րան</w:t>
      </w:r>
      <w:r w:rsidRPr="00752793">
        <w:softHyphen/>
        <w:t>քայ</w:t>
      </w:r>
      <w:r w:rsidRPr="00752793">
        <w:softHyphen/>
        <w:t>նու</w:t>
      </w:r>
      <w:r w:rsidRPr="00752793">
        <w:softHyphen/>
        <w:t>թ</w:t>
      </w:r>
      <w:r w:rsidRPr="00752793">
        <w:softHyphen/>
        <w:t>յան մակարդակը (2023թ. կազմել է 57.2%</w:t>
      </w:r>
      <w:r w:rsidRPr="00752793">
        <w:rPr>
          <w:vertAlign w:val="superscript"/>
        </w:rPr>
        <w:footnoteReference w:id="27"/>
      </w:r>
      <w:r w:rsidRPr="00752793">
        <w:t xml:space="preserve">)։ </w:t>
      </w:r>
    </w:p>
    <w:p w14:paraId="650263B6" w14:textId="77777777" w:rsidR="00DC32E9" w:rsidRPr="00752793" w:rsidRDefault="00DC32E9" w:rsidP="00856E20">
      <w:bookmarkStart w:id="16" w:name="_Hlk215841362"/>
      <w:r w:rsidRPr="00752793">
        <w:t xml:space="preserve">Թեման մեկնարկել է Հաշվեքննիչ պալատի 2025 թվականի գործունեության ծրագրի շրջանակում և նախատեսվում է ավարտել 2026 թվականին։ </w:t>
      </w:r>
    </w:p>
    <w:p w14:paraId="6068F7BB" w14:textId="77777777" w:rsidR="00DC32E9" w:rsidRPr="00752793" w:rsidRDefault="00DC32E9">
      <w:pPr>
        <w:pStyle w:val="Heading3"/>
        <w:rPr>
          <w:rFonts w:eastAsia="Times New Roman" w:cs="Times New Roman"/>
          <w:lang w:eastAsia="ru-RU"/>
        </w:rPr>
      </w:pPr>
      <w:bookmarkStart w:id="17" w:name="_Toc216079292"/>
      <w:r w:rsidRPr="00752793">
        <w:t>Տնտեսական դի</w:t>
      </w:r>
      <w:r w:rsidRPr="00752793">
        <w:softHyphen/>
        <w:t>վա</w:t>
      </w:r>
      <w:r w:rsidRPr="00752793">
        <w:softHyphen/>
        <w:t>նագիտու</w:t>
      </w:r>
      <w:r w:rsidRPr="00752793">
        <w:softHyphen/>
        <w:t>թ</w:t>
      </w:r>
      <w:r w:rsidRPr="00752793">
        <w:softHyphen/>
        <w:t>յուն</w:t>
      </w:r>
      <w:r w:rsidRPr="00752793">
        <w:rPr>
          <w:rStyle w:val="FootnoteReference"/>
          <w:sz w:val="22"/>
          <w:szCs w:val="22"/>
        </w:rPr>
        <w:footnoteReference w:id="28"/>
      </w:r>
      <w:bookmarkEnd w:id="17"/>
      <w:r w:rsidRPr="00752793">
        <w:rPr>
          <w:rFonts w:eastAsia="Times New Roman" w:cs="Times New Roman"/>
          <w:lang w:eastAsia="ru-RU"/>
        </w:rPr>
        <w:t xml:space="preserve"> </w:t>
      </w:r>
    </w:p>
    <w:p w14:paraId="35F49A8C" w14:textId="77777777" w:rsidR="00DC32E9" w:rsidRPr="00752793" w:rsidRDefault="00DC32E9" w:rsidP="00866885">
      <w:pPr>
        <w:keepNext/>
        <w:keepLines/>
        <w:spacing w:before="240" w:after="360"/>
        <w:rPr>
          <w:rStyle w:val="IntenseEmphasis"/>
        </w:rPr>
      </w:pPr>
      <w:r w:rsidRPr="00752793">
        <w:rPr>
          <w:rStyle w:val="IntenseEmphasis"/>
        </w:rPr>
        <w:t>Ծրագրի 4-րդ կետ՝ արդյունավետության գնահատում</w:t>
      </w:r>
    </w:p>
    <w:p w14:paraId="560D02A9" w14:textId="71EDFD14" w:rsidR="00DC32E9" w:rsidRPr="00752793" w:rsidRDefault="00DC32E9" w:rsidP="00856E20">
      <w:pPr>
        <w:rPr>
          <w:rFonts w:eastAsia="Times New Roman" w:cs="Times New Roman"/>
          <w:lang w:eastAsia="ru-RU"/>
        </w:rPr>
      </w:pPr>
      <w:r w:rsidRPr="00752793">
        <w:t>Տնտեսական դիվանագիտությունը արտա</w:t>
      </w:r>
      <w:r w:rsidRPr="00752793">
        <w:softHyphen/>
        <w:t>հան</w:t>
      </w:r>
      <w:r w:rsidRPr="00752793">
        <w:softHyphen/>
        <w:t>ման խթանման վրա ազդեցության նշանակալի ներուժ ունի։ ՀՀ 2024-2026թթ. Միջնաժամկետ ծախսերի ծրագրով նախատեսվում է դես</w:t>
      </w:r>
      <w:r w:rsidRPr="00752793">
        <w:softHyphen/>
        <w:t>պան</w:t>
      </w:r>
      <w:r w:rsidRPr="00752793">
        <w:softHyphen/>
        <w:t>ըն</w:t>
      </w:r>
      <w:r w:rsidRPr="00752793">
        <w:softHyphen/>
        <w:t>կալ երկրի հետ տարեկան առևտրաշրջա</w:t>
      </w:r>
      <w:r w:rsidRPr="00752793">
        <w:softHyphen/>
        <w:t>նա</w:t>
      </w:r>
      <w:r w:rsidRPr="00752793">
        <w:softHyphen/>
        <w:t xml:space="preserve">ռությունն ավելացնել 30-35%-ով։ </w:t>
      </w:r>
      <w:r w:rsidRPr="00752793">
        <w:lastRenderedPageBreak/>
        <w:t>Այնուամենայնիվ, 2022թ. ՀՀ առևտրային ներկա</w:t>
      </w:r>
      <w:r w:rsidRPr="00752793">
        <w:softHyphen/>
        <w:t>յա</w:t>
      </w:r>
      <w:r w:rsidRPr="00752793">
        <w:softHyphen/>
        <w:t>ցուց</w:t>
      </w:r>
      <w:r w:rsidRPr="00752793">
        <w:softHyphen/>
        <w:t>չությունների նպատակների և խնդիր</w:t>
      </w:r>
      <w:r w:rsidRPr="00752793">
        <w:softHyphen/>
        <w:t>նե</w:t>
      </w:r>
      <w:r w:rsidRPr="00752793">
        <w:softHyphen/>
        <w:t>րի իրագործման բյուջետային միջոցառման կա</w:t>
      </w:r>
      <w:r w:rsidRPr="00752793">
        <w:softHyphen/>
        <w:t>տարողականը կազմել է 17.9%, ինչպես նաև օտարերկրյա պետություններում գործել են ՀՀ 2 առևտրային ներկայացուց</w:t>
      </w:r>
      <w:r w:rsidRPr="00752793">
        <w:softHyphen/>
        <w:t>չու</w:t>
      </w:r>
      <w:r w:rsidRPr="00752793">
        <w:softHyphen/>
        <w:t>թ</w:t>
      </w:r>
      <w:r w:rsidRPr="00752793">
        <w:softHyphen/>
        <w:t>յուն</w:t>
      </w:r>
      <w:r w:rsidRPr="00752793">
        <w:softHyphen/>
        <w:t>ներ՝ նախատեսված 5-ի փոխարեն։</w:t>
      </w:r>
      <w:r w:rsidRPr="00752793">
        <w:rPr>
          <w:rFonts w:eastAsia="Times New Roman" w:cs="Times New Roman"/>
          <w:lang w:eastAsia="ru-RU"/>
        </w:rPr>
        <w:t xml:space="preserve"> Նախատեսվող հաշվեքննության շրջանակներում գնահատվելու է տնտեսական դիվանագիտության զարգացմանն ուղղված պետության միջոցառումների արդյունավետությունը:</w:t>
      </w:r>
    </w:p>
    <w:p w14:paraId="4F29CE3D" w14:textId="77777777" w:rsidR="00DC32E9" w:rsidRPr="00752793" w:rsidRDefault="00DC32E9">
      <w:pPr>
        <w:pStyle w:val="Heading3"/>
      </w:pPr>
      <w:bookmarkStart w:id="18" w:name="_Toc216078353"/>
      <w:bookmarkStart w:id="19" w:name="_Toc216078714"/>
      <w:bookmarkStart w:id="20" w:name="_Toc216078941"/>
      <w:bookmarkStart w:id="21" w:name="_Toc216079008"/>
      <w:bookmarkStart w:id="22" w:name="_Toc216079252"/>
      <w:bookmarkStart w:id="23" w:name="_Toc216079293"/>
      <w:bookmarkStart w:id="24" w:name="_Toc216079294"/>
      <w:bookmarkEnd w:id="16"/>
      <w:bookmarkEnd w:id="18"/>
      <w:bookmarkEnd w:id="19"/>
      <w:bookmarkEnd w:id="20"/>
      <w:bookmarkEnd w:id="21"/>
      <w:bookmarkEnd w:id="22"/>
      <w:bookmarkEnd w:id="23"/>
      <w:r w:rsidRPr="00752793">
        <w:t>Սուբսիդիաների տրամադրման համակարգ</w:t>
      </w:r>
      <w:r w:rsidRPr="00752793">
        <w:rPr>
          <w:rStyle w:val="FootnoteReference"/>
          <w:sz w:val="22"/>
          <w:szCs w:val="22"/>
        </w:rPr>
        <w:footnoteReference w:id="29"/>
      </w:r>
      <w:bookmarkEnd w:id="24"/>
    </w:p>
    <w:p w14:paraId="11D9DD98" w14:textId="77777777" w:rsidR="00DC32E9" w:rsidRPr="00752793" w:rsidRDefault="00DC32E9" w:rsidP="00866885">
      <w:pPr>
        <w:keepNext/>
        <w:keepLines/>
        <w:spacing w:before="240" w:after="360"/>
        <w:rPr>
          <w:rStyle w:val="IntenseEmphasis"/>
        </w:rPr>
      </w:pPr>
      <w:r w:rsidRPr="00752793">
        <w:rPr>
          <w:rStyle w:val="IntenseEmphasis"/>
        </w:rPr>
        <w:t>Ծրագրի 5-րդ կետ՝ արդյունավետության գնահատում</w:t>
      </w:r>
    </w:p>
    <w:p w14:paraId="7A94F2E0" w14:textId="04CA9AAD" w:rsidR="00DC32E9" w:rsidRPr="00752793" w:rsidRDefault="00DC32E9" w:rsidP="00856E20">
      <w:pPr>
        <w:rPr>
          <w:lang w:bidi="hi-IN"/>
        </w:rPr>
      </w:pPr>
      <w:r w:rsidRPr="00752793">
        <w:rPr>
          <w:lang w:bidi="hi-IN"/>
        </w:rPr>
        <w:t>Սուբսիդավորումը Հայաստանի Հանրապետության պետական բյուջեի միջոցների հաշվին կազմակերպություններին ֆինանսական միջոցների տրամադրման գործիքներից է, որի կիրառությամբ 2024-2026թթ. միջնաժամկետ հորիզոնում նախատեսվում է ծախսել, ընդհանուր առմամբ, շուրջ կես տրիլիոն դրամի չափով բյուջետային միջոցներ: Սուբսիդիաների տրամադրման համակարգի գնահատումը և միջազգային լավագույն փորձի տեսանկյունից դրա զարգացմանը միտված առաջարկությունները պարունակում են բյուջետային առանձին ծրագրերի շրջանակներում իրականացվող սուբսիդավորման ծախսերի արդյունավետության բարձրացման զգալի ներուժ:</w:t>
      </w:r>
    </w:p>
    <w:p w14:paraId="3F3679A1" w14:textId="77777777" w:rsidR="00DC32E9" w:rsidRPr="00752793" w:rsidRDefault="00DC32E9" w:rsidP="00856E20">
      <w:pPr>
        <w:rPr>
          <w:lang w:bidi="hi-IN"/>
        </w:rPr>
      </w:pPr>
      <w:r w:rsidRPr="00752793">
        <w:rPr>
          <w:lang w:bidi="hi-IN"/>
        </w:rPr>
        <w:t>Թեման նախատեսված էր Հաշվեքննիչ պալատի 2025 թվականի գործունեության ծրագրում և տեղափոխվել է 2026 թվական։</w:t>
      </w:r>
    </w:p>
    <w:p w14:paraId="151FF6CB" w14:textId="77777777" w:rsidR="00DC32E9" w:rsidRPr="00443956" w:rsidRDefault="00DC32E9" w:rsidP="005659FD">
      <w:pPr>
        <w:pStyle w:val="Heading3"/>
        <w:rPr>
          <w:lang w:val="hy-AM"/>
        </w:rPr>
      </w:pPr>
      <w:bookmarkStart w:id="25" w:name="_Toc216079295"/>
      <w:r w:rsidRPr="00443956">
        <w:rPr>
          <w:lang w:val="hy-AM"/>
        </w:rPr>
        <w:t>Բյուջետային վարկերի և երաշխիքների տրամա</w:t>
      </w:r>
      <w:r w:rsidRPr="00443956">
        <w:rPr>
          <w:lang w:val="hy-AM"/>
        </w:rPr>
        <w:softHyphen/>
        <w:t>դրման համակարգ</w:t>
      </w:r>
      <w:r w:rsidRPr="00443956">
        <w:rPr>
          <w:b w:val="0"/>
          <w:bCs w:val="0"/>
          <w:sz w:val="24"/>
          <w:szCs w:val="24"/>
          <w:vertAlign w:val="superscript"/>
        </w:rPr>
        <w:footnoteReference w:id="30"/>
      </w:r>
      <w:bookmarkEnd w:id="25"/>
    </w:p>
    <w:p w14:paraId="064B8A1D" w14:textId="77777777" w:rsidR="00DC32E9" w:rsidRPr="00752793" w:rsidRDefault="00DC32E9" w:rsidP="00866885">
      <w:pPr>
        <w:keepNext/>
        <w:keepLines/>
        <w:spacing w:before="240" w:after="360"/>
        <w:ind w:left="2694" w:hanging="2127"/>
        <w:jc w:val="left"/>
        <w:rPr>
          <w:rStyle w:val="IntenseEmphasis"/>
        </w:rPr>
      </w:pPr>
      <w:r w:rsidRPr="00752793">
        <w:rPr>
          <w:rStyle w:val="IntenseEmphasis"/>
        </w:rPr>
        <w:t>Ծրագրի 6-րդ կետ՝ իրավական ակտերի և քաղաքացիաիրավական պայմանագրերի պահանջներին համապատասխանության գնահատում</w:t>
      </w:r>
    </w:p>
    <w:p w14:paraId="246318D3" w14:textId="77777777" w:rsidR="00DC32E9" w:rsidRPr="00752793" w:rsidRDefault="00DC32E9" w:rsidP="00856E20">
      <w:pPr>
        <w:rPr>
          <w:lang w:bidi="hi-IN"/>
        </w:rPr>
      </w:pPr>
      <w:r w:rsidRPr="00752793">
        <w:rPr>
          <w:lang w:bidi="hi-IN"/>
        </w:rPr>
        <w:t>Պետության հսկողության պահպանմամբ մասնավոր հատվածի կազմակերպությունների (և/կամ տեղական ինքնակառավարման մարմինների) կողմից իրականացվող ծրագրերին մասնակցության նպատակին ծառայող պետական ֆինանսների գործիքներից բյուջետային վարկերը և երաշխիքները, որպես օրինաչափություն, օգտագործվում են այն դեպքերում, երբ առևտրային ֆինանսաբանկային կազմակերպությունները չեն ֆինանսավորում ծրագրերը՝ ռիսկերի դժվար կառավարելի գնահատման արդյունքում, ինչով պայմանավորված այս գործիքների կիրառությունն ինքնին գնահատվում է ռիսկային։</w:t>
      </w:r>
    </w:p>
    <w:p w14:paraId="08BC1898" w14:textId="77777777" w:rsidR="00DC32E9" w:rsidRPr="00752793" w:rsidRDefault="00DC32E9" w:rsidP="00856E20">
      <w:pPr>
        <w:rPr>
          <w:lang w:bidi="hi-IN"/>
        </w:rPr>
      </w:pPr>
      <w:r w:rsidRPr="00752793">
        <w:rPr>
          <w:lang w:bidi="hi-IN"/>
        </w:rPr>
        <w:lastRenderedPageBreak/>
        <w:t>Գործունեության ծրագրում նշված թեմայով հաշվեքննության արդյունքում ակնկալվում է գնահատել բյուջետային վարկերի և երաշխիքների տրամադրման գործարքների համապատասխանությունը առկա կարգավորումներին, իսկ անհրաժեշտության դեպքում նաև՝ ներկայացնել համակարգը ձևավորող իրավական ակտերին համապատասխան գործելակերպի և/կամ ակտերի վերանայման ուղղությամբ առաջարկություններ։</w:t>
      </w:r>
    </w:p>
    <w:p w14:paraId="5BA7B2AE" w14:textId="54FE218E" w:rsidR="00DC32E9" w:rsidRPr="00752793" w:rsidRDefault="00DC32E9">
      <w:pPr>
        <w:pStyle w:val="Heading3"/>
        <w:rPr>
          <w:rFonts w:eastAsiaTheme="minorEastAsia"/>
          <w:i/>
        </w:rPr>
      </w:pPr>
      <w:bookmarkStart w:id="26" w:name="_Toc216079296"/>
      <w:r w:rsidRPr="00752793">
        <w:t>Տրանսպորտային միջոցների շահագործ</w:t>
      </w:r>
      <w:r w:rsidR="005659FD" w:rsidRPr="00752793">
        <w:t>ում</w:t>
      </w:r>
      <w:r w:rsidRPr="00752793">
        <w:rPr>
          <w:rStyle w:val="FootnoteReference"/>
          <w:sz w:val="22"/>
          <w:szCs w:val="22"/>
          <w:lang w:val="hy-AM"/>
        </w:rPr>
        <w:footnoteReference w:id="31"/>
      </w:r>
      <w:bookmarkEnd w:id="26"/>
      <w:r w:rsidRPr="00752793">
        <w:rPr>
          <w:rFonts w:cs="Sylfaen"/>
        </w:rPr>
        <w:t xml:space="preserve"> </w:t>
      </w:r>
    </w:p>
    <w:p w14:paraId="4B7EAD61" w14:textId="77777777" w:rsidR="00DC32E9" w:rsidRPr="00752793" w:rsidRDefault="00DC32E9" w:rsidP="00866885">
      <w:pPr>
        <w:keepNext/>
        <w:keepLines/>
        <w:spacing w:before="240" w:after="360"/>
        <w:ind w:left="2694" w:hanging="2127"/>
        <w:jc w:val="left"/>
        <w:rPr>
          <w:rStyle w:val="IntenseEmphasis"/>
        </w:rPr>
      </w:pPr>
      <w:r w:rsidRPr="00752793">
        <w:rPr>
          <w:rStyle w:val="IntenseEmphasis"/>
        </w:rPr>
        <w:t>Ծրագրի 7-րդ կետ՝ իրավական ակտերի և քաղաքացիաիրավական պայմանագրերի պահանջներին համապատասխանության գնահատում</w:t>
      </w:r>
    </w:p>
    <w:p w14:paraId="06FD8D8B" w14:textId="77777777" w:rsidR="00283A20" w:rsidRPr="00752793" w:rsidRDefault="00283A20" w:rsidP="00283A20">
      <w:pPr>
        <w:spacing w:after="0" w:line="276" w:lineRule="auto"/>
        <w:ind w:firstLine="539"/>
      </w:pPr>
      <w:r w:rsidRPr="00752793">
        <w:t>Հաշվեքննիչ պալատը, հաշվի առնելով պետական և համայնքների բյուջեների հաշվին շահագործվող տրանսպորտային միջոցների վերաբերյալ հանրային հաղորդակցության միջոցներում տևական անդրադարձը, ինչպես նաև ստացված ազդակները, վերլուծել է խնդրին վերաբերելի՝ բաց աղբյուրներում առկա տեղեկատվությունը և արձանագրել է, որ առկա են որոշակի ռիսկեր։ Մասնավորապես, աճել են տրանսպորտային միջոցների նորոգման և պահպանման ծախսերը, մեծ է մեկ անձից գնումների մասնաբաժինը, նկատվում են գների շեղումներ շուկայականից, ինչպես նաև զգալի է պայմանագրերի կենտրոնացման աստիճանը, որոնք կարող են հանգեցնել հանրային սեփականության կառավարման խնդիրների՝ խոչընդոտելով հանրային ֆինանսների արդյունավետ օգտագործման հնարավորությունը։</w:t>
      </w:r>
    </w:p>
    <w:p w14:paraId="6368027F" w14:textId="77777777" w:rsidR="00DC32E9" w:rsidRPr="00752793" w:rsidRDefault="00DC32E9" w:rsidP="00856E20">
      <w:r w:rsidRPr="00752793">
        <w:t>Հաշվեքննությամբ նախատեսվում է գնահատել տրանսպորտային միջոցների շահագործման, նորոգման, պահպանման գործարքների համապատասխանությունը՝ իրավական ակտերով և քաղաքացիաիրավական պայմանագրերով սահմանված պահանջներին։</w:t>
      </w:r>
    </w:p>
    <w:p w14:paraId="2834B348" w14:textId="77777777" w:rsidR="00DC32E9" w:rsidRDefault="00DC32E9" w:rsidP="00856E20">
      <w:r w:rsidRPr="00752793">
        <w:t>Թեման Հաշվեքննիչ պալատի 2025 թվականի գործունեության ծրագրում ներառվել է լրացման արդյունքում</w:t>
      </w:r>
      <w:r w:rsidRPr="00752793">
        <w:rPr>
          <w:rStyle w:val="FootnoteReference"/>
          <w:i/>
        </w:rPr>
        <w:footnoteReference w:id="32"/>
      </w:r>
      <w:r w:rsidRPr="00752793">
        <w:t xml:space="preserve"> ու մեկնարկել է 2025 թվականին և նախատեսվում է ավարտել 2026 թվականին։ </w:t>
      </w:r>
    </w:p>
    <w:p w14:paraId="26DF67BE" w14:textId="77777777" w:rsidR="00052A08" w:rsidRDefault="00052A08" w:rsidP="00856E20"/>
    <w:p w14:paraId="51643AB8" w14:textId="0ABEC958" w:rsidR="00052A08" w:rsidRPr="00052A08" w:rsidRDefault="00052A08" w:rsidP="00D37C5D">
      <w:pPr>
        <w:pStyle w:val="ListParagraph"/>
        <w:numPr>
          <w:ilvl w:val="1"/>
          <w:numId w:val="10"/>
        </w:numPr>
        <w:tabs>
          <w:tab w:val="left" w:pos="1276"/>
        </w:tabs>
        <w:spacing w:after="80" w:line="276" w:lineRule="auto"/>
        <w:ind w:left="2127" w:hanging="660"/>
        <w:rPr>
          <w:rFonts w:cs="Sylfaen"/>
          <w:b/>
          <w:sz w:val="26"/>
          <w:szCs w:val="26"/>
          <w:lang w:val="hy-AM"/>
        </w:rPr>
      </w:pPr>
      <w:r w:rsidRPr="00052A08">
        <w:rPr>
          <w:rFonts w:cs="Sylfaen"/>
          <w:b/>
          <w:sz w:val="26"/>
          <w:szCs w:val="26"/>
          <w:lang w:val="hy-AM"/>
        </w:rPr>
        <w:t>Պետական ֆինանսների կառավարման համակարգի բարեփոխումներ (2019-2023թթ.)</w:t>
      </w:r>
      <w:r>
        <w:rPr>
          <w:rStyle w:val="FootnoteReference"/>
          <w:rFonts w:cs="Sylfaen"/>
          <w:b/>
          <w:sz w:val="26"/>
          <w:szCs w:val="26"/>
          <w:lang w:val="hy-AM"/>
        </w:rPr>
        <w:footnoteReference w:id="33"/>
      </w:r>
    </w:p>
    <w:p w14:paraId="5A348C11" w14:textId="4D29C726" w:rsidR="00052A08" w:rsidRPr="00052A08" w:rsidRDefault="00052A08" w:rsidP="00D37C5D">
      <w:pPr>
        <w:ind w:left="3119" w:hanging="2268"/>
        <w:rPr>
          <w:b/>
          <w:bCs/>
          <w:i/>
          <w:iCs/>
        </w:rPr>
      </w:pPr>
      <w:r w:rsidRPr="00052A08">
        <w:rPr>
          <w:b/>
          <w:bCs/>
          <w:i/>
          <w:iCs/>
        </w:rPr>
        <w:t>Ծրագրի 7.1-րդ կետ՝ իրավական ակտերի և քաղաքացիաիրավական պայմանագրերի պահանջներին համապատասխանության գնահատում</w:t>
      </w:r>
    </w:p>
    <w:p w14:paraId="24F4962A" w14:textId="77777777" w:rsidR="00052A08" w:rsidRPr="004B20BB" w:rsidRDefault="00052A08" w:rsidP="00052A08">
      <w:pPr>
        <w:pStyle w:val="ListParagraph"/>
        <w:numPr>
          <w:ilvl w:val="0"/>
          <w:numId w:val="0"/>
        </w:numPr>
        <w:tabs>
          <w:tab w:val="left" w:pos="993"/>
        </w:tabs>
        <w:spacing w:after="80" w:line="276" w:lineRule="auto"/>
        <w:ind w:left="1287"/>
        <w:rPr>
          <w:rFonts w:cs="Sylfaen"/>
          <w:lang w:val="hy-AM"/>
        </w:rPr>
      </w:pPr>
    </w:p>
    <w:p w14:paraId="56317F6E" w14:textId="77777777" w:rsidR="00052A08" w:rsidRDefault="00052A08" w:rsidP="00052A08">
      <w:pPr>
        <w:pStyle w:val="Default"/>
        <w:tabs>
          <w:tab w:val="left" w:pos="851"/>
        </w:tabs>
        <w:spacing w:after="80" w:line="276" w:lineRule="auto"/>
        <w:jc w:val="both"/>
        <w:rPr>
          <w:rFonts w:ascii="GHEA Grapalat" w:hAnsi="GHEA Grapalat" w:cs="Times New Roman"/>
          <w:sz w:val="24"/>
          <w:szCs w:val="24"/>
          <w:lang w:val="hy-AM"/>
        </w:rPr>
      </w:pPr>
      <w:r w:rsidRPr="00F43486">
        <w:rPr>
          <w:rFonts w:ascii="GHEA Grapalat" w:hAnsi="GHEA Grapalat" w:cs="Times New Roman"/>
          <w:sz w:val="24"/>
          <w:szCs w:val="24"/>
          <w:lang w:val="hy-AM"/>
        </w:rPr>
        <w:lastRenderedPageBreak/>
        <w:t>«Պետական ֆինանսների կառավարման համակարգի բարեփոխումների 2019-2023թթ. Ռազմավարությունը» փաստաթուղթը հիմնված է Կառավարության 2021-2026 թվականների ծրագրի վրա և  2023 թվակ</w:t>
      </w:r>
      <w:r>
        <w:rPr>
          <w:rFonts w:ascii="GHEA Grapalat" w:hAnsi="GHEA Grapalat" w:cs="Times New Roman"/>
          <w:sz w:val="24"/>
          <w:szCs w:val="24"/>
          <w:lang w:val="hy-AM"/>
        </w:rPr>
        <w:t>անի ավարտված լինելու հանգամանքը</w:t>
      </w:r>
      <w:r w:rsidRPr="00F43486">
        <w:rPr>
          <w:rFonts w:ascii="GHEA Grapalat" w:hAnsi="GHEA Grapalat" w:cs="Times New Roman"/>
          <w:sz w:val="24"/>
          <w:szCs w:val="24"/>
          <w:lang w:val="hy-AM"/>
        </w:rPr>
        <w:t xml:space="preserve"> թույլ </w:t>
      </w:r>
      <w:r w:rsidRPr="004B20BB">
        <w:rPr>
          <w:rFonts w:ascii="GHEA Grapalat" w:hAnsi="GHEA Grapalat" w:cs="Times New Roman"/>
          <w:sz w:val="24"/>
          <w:szCs w:val="24"/>
          <w:lang w:val="hy-AM"/>
        </w:rPr>
        <w:t>է</w:t>
      </w:r>
      <w:r w:rsidRPr="00F43486">
        <w:rPr>
          <w:rFonts w:ascii="GHEA Grapalat" w:hAnsi="GHEA Grapalat" w:cs="Times New Roman"/>
          <w:sz w:val="24"/>
          <w:szCs w:val="24"/>
          <w:lang w:val="hy-AM"/>
        </w:rPr>
        <w:t xml:space="preserve"> տալիս արձանագրել, որ Ռազմավարությունով նախատեսված բոլոր արդյունքներն արձանագրված են, ուստի Հաշվեքննության միջնաժամկետ առաջնահերթությունների ուղղության՝ Հաշվեքննիչ պալա</w:t>
      </w:r>
      <w:r>
        <w:rPr>
          <w:rFonts w:ascii="GHEA Grapalat" w:hAnsi="GHEA Grapalat" w:cs="Times New Roman"/>
          <w:sz w:val="24"/>
          <w:szCs w:val="24"/>
          <w:lang w:val="hy-AM"/>
        </w:rPr>
        <w:t>տի ծրագրի առանձին թեմա սահմանելը</w:t>
      </w:r>
      <w:r w:rsidRPr="00F43486">
        <w:rPr>
          <w:rFonts w:ascii="GHEA Grapalat" w:hAnsi="GHEA Grapalat" w:cs="Times New Roman"/>
          <w:sz w:val="24"/>
          <w:szCs w:val="24"/>
          <w:lang w:val="hy-AM"/>
        </w:rPr>
        <w:t xml:space="preserve"> հնարավորություն կընձեռի ձևավորել ռազմավարական փաստաթղթով սահմանված միջոցառումների կատարման վերաբերյալ կարծիք, որն ինչպես մյուս դեպքերում, կարող է օգտագործվել՝ Կառավարության ծրագրում հայտարարված մտադրությունների լիարժեք իրագործման ուղղությամբ հետագա անելիքները ճշգրտելու նպատակով։</w:t>
      </w:r>
    </w:p>
    <w:p w14:paraId="4D26F924" w14:textId="246588D3" w:rsidR="00052A08" w:rsidRPr="00752793" w:rsidRDefault="00052A08" w:rsidP="00052A08">
      <w:r w:rsidRPr="00752793">
        <w:t xml:space="preserve">Հաշվեքննությամբ նախատեսվում է գնահատել </w:t>
      </w:r>
      <w:r w:rsidRPr="00F43486">
        <w:rPr>
          <w:rFonts w:cs="Times New Roman"/>
        </w:rPr>
        <w:t xml:space="preserve">Պետական ֆինանսների կառավարման համակարգի բարեփոխումների </w:t>
      </w:r>
      <w:r>
        <w:rPr>
          <w:color w:val="000000"/>
          <w:shd w:val="clear" w:color="auto" w:fill="FFFFFF"/>
        </w:rPr>
        <w:t xml:space="preserve">գործընթացի </w:t>
      </w:r>
      <w:r w:rsidRPr="00752793">
        <w:t>համապատասխանությունը՝ իրավական ակտերով և քաղաքացիաիրավական պայմանագրերով սահմանված պահանջներին։</w:t>
      </w:r>
    </w:p>
    <w:p w14:paraId="388DF2F7" w14:textId="77777777" w:rsidR="00EA3DDE" w:rsidRPr="00752793" w:rsidRDefault="00EA3DDE" w:rsidP="00EA3DDE">
      <w:pPr>
        <w:rPr>
          <w:lang w:bidi="hi-IN"/>
        </w:rPr>
      </w:pPr>
      <w:r w:rsidRPr="00752793">
        <w:rPr>
          <w:lang w:bidi="hi-IN"/>
        </w:rPr>
        <w:t>Թեման նախատեսված էր Հաշվեքննիչ պալատի 2025 թվականի գործունեության ծրագրում և տեղափոխվել է 2026 թվական։</w:t>
      </w:r>
    </w:p>
    <w:p w14:paraId="2AB06BDE" w14:textId="77777777" w:rsidR="00052A08" w:rsidRDefault="00052A08" w:rsidP="00052A08">
      <w:pPr>
        <w:pStyle w:val="Default"/>
        <w:tabs>
          <w:tab w:val="left" w:pos="851"/>
        </w:tabs>
        <w:spacing w:after="80" w:line="276" w:lineRule="auto"/>
        <w:jc w:val="both"/>
        <w:rPr>
          <w:rFonts w:ascii="GHEA Grapalat" w:hAnsi="GHEA Grapalat" w:cs="Times New Roman"/>
          <w:sz w:val="24"/>
          <w:szCs w:val="24"/>
          <w:lang w:val="hy-AM"/>
        </w:rPr>
      </w:pPr>
    </w:p>
    <w:p w14:paraId="49F12C8C" w14:textId="26E30751" w:rsidR="00052A08" w:rsidRPr="00052A08" w:rsidRDefault="00052A08" w:rsidP="00052A08">
      <w:pPr>
        <w:pStyle w:val="Heading3"/>
        <w:numPr>
          <w:ilvl w:val="1"/>
          <w:numId w:val="10"/>
        </w:numPr>
        <w:ind w:left="1560"/>
        <w:rPr>
          <w:lang w:val="hy-AM"/>
        </w:rPr>
      </w:pPr>
      <w:r w:rsidRPr="00052A08">
        <w:rPr>
          <w:lang w:val="hy-AM"/>
        </w:rPr>
        <w:t xml:space="preserve"> </w:t>
      </w:r>
      <w:r w:rsidRPr="00052A08">
        <w:rPr>
          <w:rFonts w:cs="Sylfaen"/>
          <w:lang w:val="hy-AM"/>
        </w:rPr>
        <w:t>Դեղերի արտադրության և դեղերի մեծածախ իրացման լիցենզավորման գործընթաց</w:t>
      </w:r>
      <w:r>
        <w:rPr>
          <w:rStyle w:val="FootnoteReference"/>
          <w:rFonts w:cs="Sylfaen"/>
          <w:lang w:val="hy-AM"/>
        </w:rPr>
        <w:footnoteReference w:id="34"/>
      </w:r>
    </w:p>
    <w:p w14:paraId="06464CA2" w14:textId="7E0E70F5" w:rsidR="00052A08" w:rsidRPr="00052A08" w:rsidRDefault="00052A08" w:rsidP="00D37C5D">
      <w:pPr>
        <w:ind w:left="2694" w:hanging="2410"/>
        <w:rPr>
          <w:b/>
          <w:bCs/>
          <w:i/>
          <w:iCs/>
        </w:rPr>
      </w:pPr>
      <w:r w:rsidRPr="00052A08">
        <w:rPr>
          <w:b/>
          <w:bCs/>
          <w:i/>
          <w:iCs/>
        </w:rPr>
        <w:t>Ծրագրի 7.2-րդ կետ՝ իրավական ակտերի և քաղաքացիաիրավական պայմանագրերի պահանջներին համապատասխանության գնահատում</w:t>
      </w:r>
    </w:p>
    <w:p w14:paraId="6C091177" w14:textId="77777777" w:rsidR="00052A08" w:rsidRPr="00052A08" w:rsidRDefault="00052A08" w:rsidP="00052A08">
      <w:pPr>
        <w:tabs>
          <w:tab w:val="left" w:pos="993"/>
        </w:tabs>
        <w:spacing w:after="80" w:line="276" w:lineRule="auto"/>
        <w:rPr>
          <w:rFonts w:cs="Sylfaen"/>
          <w:b/>
          <w:i/>
        </w:rPr>
      </w:pPr>
    </w:p>
    <w:p w14:paraId="32EFE7AF" w14:textId="77777777" w:rsidR="00052A08" w:rsidRPr="00C31BC5" w:rsidRDefault="00052A08" w:rsidP="00052A08">
      <w:pPr>
        <w:pStyle w:val="NormalWeb"/>
        <w:shd w:val="clear" w:color="auto" w:fill="FFFFFF"/>
        <w:spacing w:before="0" w:beforeAutospacing="0" w:after="225" w:afterAutospacing="0"/>
        <w:textAlignment w:val="baseline"/>
        <w:rPr>
          <w:rFonts w:ascii="GHEA Grapalat" w:hAnsi="GHEA Grapalat"/>
          <w:lang w:bidi="hi-IN"/>
        </w:rPr>
      </w:pPr>
      <w:r w:rsidRPr="009F6932">
        <w:rPr>
          <w:rFonts w:ascii="GHEA Grapalat" w:hAnsi="GHEA Grapalat"/>
          <w:lang w:bidi="hi-IN"/>
        </w:rPr>
        <w:t>Դեղագործությունը ՀՀ կառավարության  2021-2026 թվականների գործունեության միջոցառումների ծրագ</w:t>
      </w:r>
      <w:r w:rsidRPr="004B20BB">
        <w:rPr>
          <w:rFonts w:ascii="GHEA Grapalat" w:hAnsi="GHEA Grapalat"/>
          <w:lang w:bidi="hi-IN"/>
        </w:rPr>
        <w:t>րով սահմանվել է</w:t>
      </w:r>
      <w:r w:rsidRPr="009F6932">
        <w:rPr>
          <w:rFonts w:ascii="GHEA Grapalat" w:hAnsi="GHEA Grapalat"/>
          <w:lang w:bidi="hi-IN"/>
        </w:rPr>
        <w:t xml:space="preserve"> որպես արդյունաբերության զարգացման հինգ գերակա ոլորտներից մեկը</w:t>
      </w:r>
      <w:r w:rsidRPr="004B20BB">
        <w:rPr>
          <w:rFonts w:ascii="GHEA Grapalat" w:hAnsi="GHEA Grapalat"/>
          <w:lang w:bidi="hi-IN"/>
        </w:rPr>
        <w:t xml:space="preserve">:  </w:t>
      </w:r>
    </w:p>
    <w:p w14:paraId="3897FC51" w14:textId="77777777" w:rsidR="00052A08" w:rsidRDefault="00052A08" w:rsidP="00052A08">
      <w:pPr>
        <w:tabs>
          <w:tab w:val="left" w:pos="426"/>
          <w:tab w:val="left" w:pos="993"/>
        </w:tabs>
        <w:spacing w:after="0" w:line="240" w:lineRule="auto"/>
        <w:rPr>
          <w:rFonts w:eastAsia="Times New Roman" w:cs="Times New Roman"/>
          <w:lang w:bidi="hi-IN"/>
        </w:rPr>
      </w:pPr>
      <w:r w:rsidRPr="009F6932">
        <w:rPr>
          <w:rFonts w:eastAsia="Times New Roman" w:cs="Times New Roman"/>
          <w:lang w:bidi="hi-IN"/>
        </w:rPr>
        <w:t>ՀՀ</w:t>
      </w:r>
      <w:r w:rsidRPr="004B20BB">
        <w:rPr>
          <w:rFonts w:eastAsia="Times New Roman" w:cs="Times New Roman"/>
          <w:lang w:bidi="hi-IN"/>
        </w:rPr>
        <w:t xml:space="preserve"> </w:t>
      </w:r>
      <w:r w:rsidRPr="009F6932">
        <w:rPr>
          <w:rFonts w:eastAsia="Times New Roman" w:cs="Times New Roman"/>
          <w:lang w:bidi="hi-IN"/>
        </w:rPr>
        <w:t>տնտեսության մեջ ներկայումս մեծ կարևորություն է տրվում դեղագործության ոլորտի զարգացմանը: Ոլորտն ունի ռազմավարական կարևոր նշանակություն, քանի որ այն ուղղակիորեն կապված է բնակչության առողջության պահպանման և պետական անվտանգության ապահովման հետ:</w:t>
      </w:r>
      <w:r w:rsidRPr="004B20BB">
        <w:rPr>
          <w:rFonts w:eastAsia="Times New Roman" w:cs="Times New Roman"/>
          <w:lang w:bidi="hi-IN"/>
        </w:rPr>
        <w:t xml:space="preserve"> Ոլորտի հիմնախնդիր է շարունակում մնալ պետական գրանցամատյանում չգրանցված դեղերի շրջանառությունը</w:t>
      </w:r>
      <w:r>
        <w:rPr>
          <w:rStyle w:val="FootnoteReference"/>
          <w:rFonts w:eastAsia="Times New Roman" w:cs="Times New Roman"/>
          <w:lang w:val="en-US" w:bidi="hi-IN"/>
        </w:rPr>
        <w:footnoteReference w:id="35"/>
      </w:r>
      <w:r w:rsidRPr="004B20BB">
        <w:rPr>
          <w:rFonts w:eastAsia="Times New Roman" w:cs="Times New Roman"/>
          <w:lang w:bidi="hi-IN"/>
        </w:rPr>
        <w:t>:</w:t>
      </w:r>
    </w:p>
    <w:p w14:paraId="0008EB8A" w14:textId="2056EFC2" w:rsidR="00862374" w:rsidRPr="00752793" w:rsidRDefault="00862374" w:rsidP="00862374">
      <w:r w:rsidRPr="00752793">
        <w:lastRenderedPageBreak/>
        <w:t xml:space="preserve">Հաշվեքննությամբ նախատեսվում է գնահատել </w:t>
      </w:r>
      <w:r w:rsidR="00EA00A8">
        <w:rPr>
          <w:color w:val="000000"/>
          <w:shd w:val="clear" w:color="auto" w:fill="FFFFFF"/>
        </w:rPr>
        <w:t>դեղերի արտադրությունը և մեծածախ իրացումը լիցենզավորելու գործընթացի համապատասխանությունը</w:t>
      </w:r>
      <w:r w:rsidRPr="00752793">
        <w:t>՝ իրավական ակտերով և քաղաքացիաիրավական պայմանագրերով սահմանված պահանջներին։</w:t>
      </w:r>
    </w:p>
    <w:p w14:paraId="012B6061" w14:textId="77777777" w:rsidR="00862374" w:rsidRPr="00752793" w:rsidRDefault="00862374" w:rsidP="00862374">
      <w:pPr>
        <w:rPr>
          <w:lang w:bidi="hi-IN"/>
        </w:rPr>
      </w:pPr>
      <w:r w:rsidRPr="00752793">
        <w:rPr>
          <w:lang w:bidi="hi-IN"/>
        </w:rPr>
        <w:t>Թեման նախատեսված էր Հաշվեքննիչ պալատի 2025 թվականի գործունեության ծրագրում և տեղափոխվել է 2026 թվական։</w:t>
      </w:r>
    </w:p>
    <w:p w14:paraId="775B3A28" w14:textId="6A9DA5D7" w:rsidR="00DC32E9" w:rsidRPr="00752793" w:rsidRDefault="00793773" w:rsidP="00856E20">
      <w:pPr>
        <w:pStyle w:val="Subtitle"/>
        <w:rPr>
          <w:sz w:val="28"/>
          <w:szCs w:val="28"/>
        </w:rPr>
      </w:pPr>
      <w:bookmarkStart w:id="27" w:name="_Toc216078357"/>
      <w:bookmarkStart w:id="28" w:name="_Toc216078718"/>
      <w:bookmarkStart w:id="29" w:name="_Toc216078945"/>
      <w:bookmarkStart w:id="30" w:name="_Toc216079012"/>
      <w:bookmarkStart w:id="31" w:name="_Toc216079256"/>
      <w:bookmarkStart w:id="32" w:name="_Toc216079297"/>
      <w:bookmarkStart w:id="33" w:name="_Toc216078358"/>
      <w:bookmarkStart w:id="34" w:name="_Toc216078719"/>
      <w:bookmarkStart w:id="35" w:name="_Toc216078946"/>
      <w:bookmarkStart w:id="36" w:name="_Toc216079013"/>
      <w:bookmarkStart w:id="37" w:name="_Toc216079257"/>
      <w:bookmarkStart w:id="38" w:name="_Toc216079298"/>
      <w:bookmarkStart w:id="39" w:name="_Toc216078359"/>
      <w:bookmarkStart w:id="40" w:name="_Toc216078720"/>
      <w:bookmarkStart w:id="41" w:name="_Toc216078947"/>
      <w:bookmarkStart w:id="42" w:name="_Toc216079014"/>
      <w:bookmarkStart w:id="43" w:name="_Toc216079258"/>
      <w:bookmarkStart w:id="44" w:name="_Toc216079299"/>
      <w:bookmarkStart w:id="45" w:name="_Toc216078360"/>
      <w:bookmarkStart w:id="46" w:name="_Toc216078721"/>
      <w:bookmarkStart w:id="47" w:name="_Toc216078948"/>
      <w:bookmarkStart w:id="48" w:name="_Toc216079015"/>
      <w:bookmarkStart w:id="49" w:name="_Toc216079259"/>
      <w:bookmarkStart w:id="50" w:name="_Toc216079300"/>
      <w:bookmarkStart w:id="51" w:name="_Toc216078361"/>
      <w:bookmarkStart w:id="52" w:name="_Toc216078722"/>
      <w:bookmarkStart w:id="53" w:name="_Toc216078949"/>
      <w:bookmarkStart w:id="54" w:name="_Toc216079016"/>
      <w:bookmarkStart w:id="55" w:name="_Toc216079260"/>
      <w:bookmarkStart w:id="56" w:name="_Toc216079301"/>
      <w:bookmarkStart w:id="57" w:name="_Toc216079305"/>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752793">
        <w:rPr>
          <w:sz w:val="28"/>
          <w:szCs w:val="28"/>
        </w:rPr>
        <w:t>Հաշվեքննություններ ՀՀ համայնք</w:t>
      </w:r>
      <w:r w:rsidR="007E1F16" w:rsidRPr="00443956">
        <w:rPr>
          <w:sz w:val="28"/>
          <w:szCs w:val="28"/>
        </w:rPr>
        <w:t>ներում</w:t>
      </w:r>
      <w:bookmarkEnd w:id="57"/>
    </w:p>
    <w:p w14:paraId="17AEDFA2" w14:textId="77777777" w:rsidR="00DC32E9" w:rsidRPr="00752793" w:rsidRDefault="00DC32E9" w:rsidP="00856E20">
      <w:r w:rsidRPr="00752793">
        <w:t xml:space="preserve">Համայնքների ֆինանսատնտեսական գործունեության հաշվեքննություններով արձանագրվել են համայնքային հողերի օտարման և վարձակալության գործարքների, ինչպես նաև համայնքների կողմից կազմակերպվող գնումների գործընթացների հետ կապված միատեսակ խնդիրներ, որոնք հաշվեքննության չենթարկված համայնքներում նույն բնույթի գործարքները ռիսկային համարելու հիմքեր են տալիս։ </w:t>
      </w:r>
    </w:p>
    <w:p w14:paraId="2AC61B3A" w14:textId="46673FB9" w:rsidR="00DC32E9" w:rsidRPr="00752793" w:rsidRDefault="00DC32E9" w:rsidP="00856E20">
      <w:r w:rsidRPr="00752793">
        <w:t>Դիրքորոշումն ամրապնդվել է նաև պայմանավորված այն հանգամանք</w:t>
      </w:r>
      <w:r w:rsidR="00283A20" w:rsidRPr="00752793">
        <w:t>ներ</w:t>
      </w:r>
      <w:r w:rsidRPr="00752793">
        <w:t xml:space="preserve">ով, որ </w:t>
      </w:r>
    </w:p>
    <w:p w14:paraId="0D0F5498" w14:textId="77777777" w:rsidR="00DC32E9" w:rsidRPr="00443956" w:rsidRDefault="00DC32E9">
      <w:pPr>
        <w:pStyle w:val="ListParagraph"/>
        <w:numPr>
          <w:ilvl w:val="0"/>
          <w:numId w:val="9"/>
        </w:numPr>
        <w:rPr>
          <w:lang w:val="hy-AM"/>
        </w:rPr>
      </w:pPr>
      <w:r w:rsidRPr="00443956">
        <w:rPr>
          <w:lang w:val="hy-AM"/>
        </w:rPr>
        <w:t>ՀՀ Ազգային ժողովի ֆինանսավարկային և բյուջետային ու տարածքային կառավարման, տեղական ինքնակառավարման, գյուղատնտեսության և շրջակա միջավայրի պահպանության հարցերի մշտական հանձնաժողովների 2025 թվականին հրավիրված համատեղ նիստում քննարկվել է Նաիրիի համայնքապետարանի ֆինանսատնտեսական գործունեության հաշվեքննության ընթացիկ եզրակացությունը, որում արծարծված են նաև հողային աճուրդների կազմակերպման, հողի օտարման գների և վարձակալության վճարների ձևավորման հետ կապված խնդիրները,</w:t>
      </w:r>
    </w:p>
    <w:p w14:paraId="202CFA80" w14:textId="77777777" w:rsidR="00DC32E9" w:rsidRPr="00443956" w:rsidRDefault="00DC32E9">
      <w:pPr>
        <w:pStyle w:val="ListParagraph"/>
        <w:numPr>
          <w:ilvl w:val="0"/>
          <w:numId w:val="9"/>
        </w:numPr>
        <w:rPr>
          <w:lang w:val="hy-AM"/>
        </w:rPr>
      </w:pPr>
      <w:r w:rsidRPr="00443956">
        <w:rPr>
          <w:lang w:val="hy-AM"/>
        </w:rPr>
        <w:t xml:space="preserve">քննարկումը հանրային հնչեղություն է ստացել լուսաբանվելով մեդիա միջոցներով, </w:t>
      </w:r>
    </w:p>
    <w:p w14:paraId="7892CB93" w14:textId="77777777" w:rsidR="00DC32E9" w:rsidRPr="00443956" w:rsidRDefault="00DC32E9">
      <w:pPr>
        <w:pStyle w:val="ListParagraph"/>
        <w:numPr>
          <w:ilvl w:val="0"/>
          <w:numId w:val="9"/>
        </w:numPr>
        <w:rPr>
          <w:lang w:val="hy-AM"/>
        </w:rPr>
      </w:pPr>
      <w:r w:rsidRPr="00443956">
        <w:rPr>
          <w:lang w:val="hy-AM"/>
        </w:rPr>
        <w:t>ինչը նաև առիթ է հանդիսացել խնդիրը համակարգային գնահատելու և ՀՀ Ազգային ժողովի պատգամավոր տիկին Արուսյակ Մանավազյանի կողմից Հաշվեքննիչ պալատի գործունեության ծրագրում հարցը ներառելու վերաբերյալ առաջարկ ներկայացնելու համար։</w:t>
      </w:r>
    </w:p>
    <w:p w14:paraId="2A0DB9CC" w14:textId="77A803DA" w:rsidR="00DC32E9" w:rsidRPr="00752793" w:rsidRDefault="000B6B0C" w:rsidP="00856E20">
      <w:pPr>
        <w:rPr>
          <w:lang w:eastAsia="ru-RU"/>
        </w:rPr>
      </w:pPr>
      <w:r w:rsidRPr="00752793">
        <w:rPr>
          <w:lang w:eastAsia="ru-RU"/>
        </w:rPr>
        <w:t xml:space="preserve">Վերոնշյալը հաշվի առնելով և </w:t>
      </w:r>
      <w:r w:rsidRPr="00752793">
        <w:t>հանրությանը՝ ծառայությունների մատուցումը մարդակենտրոն դարձնելու նպատակադրումների առաջընթացը գնահատելու նպատակով նախատեսվել են ստորև ներկայացված հաշվեքննությունների թեմաները։</w:t>
      </w:r>
    </w:p>
    <w:p w14:paraId="6B9D9F39" w14:textId="77777777" w:rsidR="00DC32E9" w:rsidRPr="00443956" w:rsidRDefault="00DC32E9">
      <w:pPr>
        <w:pStyle w:val="Heading3"/>
        <w:rPr>
          <w:lang w:val="hy-AM"/>
        </w:rPr>
      </w:pPr>
      <w:bookmarkStart w:id="58" w:name="_Toc216078366"/>
      <w:bookmarkStart w:id="59" w:name="_Toc216078727"/>
      <w:bookmarkStart w:id="60" w:name="_Toc216078954"/>
      <w:bookmarkStart w:id="61" w:name="_Toc216079021"/>
      <w:bookmarkStart w:id="62" w:name="_Toc216079265"/>
      <w:bookmarkStart w:id="63" w:name="_Toc216079306"/>
      <w:bookmarkStart w:id="64" w:name="_Toc216078367"/>
      <w:bookmarkStart w:id="65" w:name="_Toc216078728"/>
      <w:bookmarkStart w:id="66" w:name="_Toc216078955"/>
      <w:bookmarkStart w:id="67" w:name="_Toc216079022"/>
      <w:bookmarkStart w:id="68" w:name="_Toc216079266"/>
      <w:bookmarkStart w:id="69" w:name="_Toc216079307"/>
      <w:bookmarkStart w:id="70" w:name="_Toc216078368"/>
      <w:bookmarkStart w:id="71" w:name="_Toc216078729"/>
      <w:bookmarkStart w:id="72" w:name="_Toc216078956"/>
      <w:bookmarkStart w:id="73" w:name="_Toc216079023"/>
      <w:bookmarkStart w:id="74" w:name="_Toc216079267"/>
      <w:bookmarkStart w:id="75" w:name="_Toc216079308"/>
      <w:bookmarkStart w:id="76" w:name="_Toc216078369"/>
      <w:bookmarkStart w:id="77" w:name="_Toc216078730"/>
      <w:bookmarkStart w:id="78" w:name="_Toc216078957"/>
      <w:bookmarkStart w:id="79" w:name="_Toc216079024"/>
      <w:bookmarkStart w:id="80" w:name="_Toc216079268"/>
      <w:bookmarkStart w:id="81" w:name="_Toc216079309"/>
      <w:bookmarkStart w:id="82" w:name="_Toc216079302"/>
      <w:bookmarkStart w:id="83" w:name="_Toc216079310"/>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443956">
        <w:rPr>
          <w:lang w:val="hy-AM" w:bidi="hi-IN"/>
        </w:rPr>
        <w:lastRenderedPageBreak/>
        <w:t>Երևան քաղաքի</w:t>
      </w:r>
      <w:bookmarkEnd w:id="82"/>
      <w:r w:rsidRPr="00443956">
        <w:rPr>
          <w:lang w:val="hy-AM" w:bidi="hi-IN"/>
        </w:rPr>
        <w:t xml:space="preserve"> </w:t>
      </w:r>
      <w:bookmarkStart w:id="84" w:name="_Toc216078363"/>
      <w:bookmarkStart w:id="85" w:name="_Toc216078724"/>
      <w:bookmarkStart w:id="86" w:name="_Toc216078951"/>
      <w:bookmarkStart w:id="87" w:name="_Toc216079018"/>
      <w:bookmarkStart w:id="88" w:name="_Toc216079262"/>
      <w:bookmarkStart w:id="89" w:name="_Toc216079303"/>
      <w:bookmarkStart w:id="90" w:name="_Toc216079304"/>
      <w:bookmarkEnd w:id="84"/>
      <w:bookmarkEnd w:id="85"/>
      <w:bookmarkEnd w:id="86"/>
      <w:bookmarkEnd w:id="87"/>
      <w:bookmarkEnd w:id="88"/>
      <w:bookmarkEnd w:id="89"/>
      <w:r w:rsidRPr="00443956">
        <w:rPr>
          <w:lang w:val="hy-AM"/>
        </w:rPr>
        <w:t>Խելացի քաղաք ռազմավարական ծրագիրը</w:t>
      </w:r>
      <w:r w:rsidRPr="00443956">
        <w:rPr>
          <w:rStyle w:val="FootnoteReference"/>
          <w:b w:val="0"/>
          <w:bCs w:val="0"/>
          <w:sz w:val="24"/>
          <w:szCs w:val="24"/>
          <w:lang w:val="hy-AM"/>
        </w:rPr>
        <w:footnoteReference w:id="36"/>
      </w:r>
      <w:bookmarkEnd w:id="90"/>
    </w:p>
    <w:p w14:paraId="18F23EED" w14:textId="77777777" w:rsidR="00DC32E9" w:rsidRPr="00752793" w:rsidRDefault="00DC32E9" w:rsidP="00866885">
      <w:pPr>
        <w:keepNext/>
        <w:keepLines/>
        <w:spacing w:before="240" w:after="360"/>
        <w:rPr>
          <w:rStyle w:val="IntenseEmphasis"/>
        </w:rPr>
      </w:pPr>
      <w:r w:rsidRPr="00752793">
        <w:rPr>
          <w:rStyle w:val="IntenseEmphasis"/>
        </w:rPr>
        <w:t>Ծրագրի 8-րդ կետ՝ արդյունավետության գնահատում</w:t>
      </w:r>
    </w:p>
    <w:p w14:paraId="566FE38D" w14:textId="210A15AA" w:rsidR="00DC32E9" w:rsidRPr="00752793" w:rsidRDefault="00DC32E9" w:rsidP="00856E20">
      <w:r w:rsidRPr="00752793">
        <w:t>Թեմայի էականությունը պայմանավորված է թվային փոխակերպումների՝ Հանրապետության ամենամեծ համայնքում կառավարման արդյունավետության բարձրացման վրա ազդեցության մեծ ներուժով: Այն հանդիսանում է Երևան քաղաքի զարգացման 2023 թվականի ծրագրի հիմնական ուղղություններից մեկը: Ծրագրի կատարողականի գնահատումը, ինչպես նաև առկա հիմնախնդիրների (այդ թվում՝ կիբե</w:t>
      </w:r>
      <w:r w:rsidR="00443956" w:rsidRPr="00443956">
        <w:t>ր</w:t>
      </w:r>
      <w:r w:rsidRPr="00752793">
        <w:t>անվտանգություն, մարդկային ռեսուրսների սղություն) հասցեագրումը պարունակում է բարելավման նշանակալի ներուժ:</w:t>
      </w:r>
    </w:p>
    <w:p w14:paraId="1D798A7E" w14:textId="77777777" w:rsidR="00DC32E9" w:rsidRPr="00752793" w:rsidRDefault="00DC32E9" w:rsidP="00856E20">
      <w:r w:rsidRPr="00752793">
        <w:t>Թեման նախատեսված էր Հաշվեքննիչ պալատի 2025 թվականի գործունեության ծրագրում և տեղափոխվել է 2026 թվական։</w:t>
      </w:r>
    </w:p>
    <w:p w14:paraId="7AFFC3CA" w14:textId="32791583" w:rsidR="00DC32E9" w:rsidRPr="00443956" w:rsidRDefault="000B6B0C">
      <w:pPr>
        <w:pStyle w:val="Heading3"/>
        <w:rPr>
          <w:lang w:val="hy-AM"/>
        </w:rPr>
      </w:pPr>
      <w:r w:rsidRPr="00443956">
        <w:rPr>
          <w:lang w:val="hy-AM" w:bidi="hi-IN"/>
        </w:rPr>
        <w:t xml:space="preserve">ՀՀ մարզերի </w:t>
      </w:r>
      <w:r w:rsidRPr="00443956">
        <w:rPr>
          <w:lang w:val="hy-AM"/>
        </w:rPr>
        <w:t>հ</w:t>
      </w:r>
      <w:r w:rsidR="00DC32E9" w:rsidRPr="00443956">
        <w:rPr>
          <w:lang w:val="hy-AM"/>
        </w:rPr>
        <w:t>ամայնքային սեփականություն հանդիսացող հողամասերի օտարում և վարձակալություն</w:t>
      </w:r>
      <w:r w:rsidR="00DC32E9" w:rsidRPr="00443956">
        <w:rPr>
          <w:rStyle w:val="FootnoteReference"/>
          <w:b w:val="0"/>
          <w:bCs w:val="0"/>
          <w:sz w:val="24"/>
          <w:szCs w:val="22"/>
        </w:rPr>
        <w:footnoteReference w:id="37"/>
      </w:r>
      <w:bookmarkEnd w:id="83"/>
    </w:p>
    <w:p w14:paraId="41071804" w14:textId="77777777" w:rsidR="00DC32E9" w:rsidRPr="00752793" w:rsidRDefault="00DC32E9" w:rsidP="00866885">
      <w:pPr>
        <w:keepNext/>
        <w:keepLines/>
        <w:spacing w:before="240" w:after="360"/>
        <w:rPr>
          <w:rStyle w:val="IntenseEmphasis"/>
        </w:rPr>
      </w:pPr>
      <w:r w:rsidRPr="00752793">
        <w:rPr>
          <w:rStyle w:val="IntenseEmphasis"/>
        </w:rPr>
        <w:t>Ծրագրի 9-րդ կետ՝ արդյունավետության գնահատում</w:t>
      </w:r>
    </w:p>
    <w:p w14:paraId="1FAD410F" w14:textId="0BC56154" w:rsidR="00DC32E9" w:rsidRPr="00752793" w:rsidRDefault="00DC32E9" w:rsidP="00856E20">
      <w:r w:rsidRPr="00752793">
        <w:t xml:space="preserve">Համայնքային սեփականություն հանդիսացող հողամասերի օտարման և վարձակալության տրամադրման գործընթացի ընդգրկումը Հաշվեքննիչ պալատի 2026 թվականի գործունեության ծրագրում հնարավորություն է տալու գնահատել համայնքներում հողերի օտարման և վարձակալության գործընթացների արդյունավետությունը և ներկայացնել առաջարկություններ՝ </w:t>
      </w:r>
      <w:r w:rsidR="000B6B0C" w:rsidRPr="00752793">
        <w:t xml:space="preserve">նպատակ ունենալով </w:t>
      </w:r>
      <w:r w:rsidRPr="00752793">
        <w:t>նպաստել նաև խորհրդարանական թիրախային վերահսկողության գործին։</w:t>
      </w:r>
    </w:p>
    <w:p w14:paraId="73A84E0D" w14:textId="088C9E6F" w:rsidR="00DC32E9" w:rsidRPr="00752793" w:rsidRDefault="00D06B40">
      <w:pPr>
        <w:pStyle w:val="Heading3"/>
      </w:pPr>
      <w:bookmarkStart w:id="91" w:name="_Toc216079311"/>
      <w:r w:rsidRPr="00443956">
        <w:rPr>
          <w:lang w:val="hy-AM"/>
        </w:rPr>
        <w:t xml:space="preserve"> </w:t>
      </w:r>
      <w:r w:rsidR="00DC32E9" w:rsidRPr="00752793">
        <w:t xml:space="preserve">ՀՀ </w:t>
      </w:r>
      <w:r w:rsidR="000B6B0C" w:rsidRPr="00752793">
        <w:t xml:space="preserve">մարզերի համայնքապետարանների </w:t>
      </w:r>
      <w:r w:rsidR="00DC32E9" w:rsidRPr="00752793">
        <w:t>գնումների գործընթաց</w:t>
      </w:r>
      <w:bookmarkEnd w:id="91"/>
    </w:p>
    <w:p w14:paraId="1AC75152" w14:textId="77777777" w:rsidR="00DC32E9" w:rsidRPr="00752793" w:rsidRDefault="00DC32E9" w:rsidP="00866885">
      <w:pPr>
        <w:keepNext/>
        <w:keepLines/>
        <w:spacing w:before="240" w:after="360"/>
        <w:ind w:left="2835" w:hanging="2268"/>
        <w:jc w:val="left"/>
        <w:rPr>
          <w:rStyle w:val="IntenseEmphasis"/>
          <w:b w:val="0"/>
          <w:bCs/>
          <w:sz w:val="26"/>
        </w:rPr>
      </w:pPr>
      <w:bookmarkStart w:id="92" w:name="_Toc216078371"/>
      <w:bookmarkStart w:id="93" w:name="_Toc216078732"/>
      <w:bookmarkStart w:id="94" w:name="_Toc216078959"/>
      <w:bookmarkStart w:id="95" w:name="_Toc216078372"/>
      <w:bookmarkStart w:id="96" w:name="_Toc216078733"/>
      <w:bookmarkStart w:id="97" w:name="_Toc216078960"/>
      <w:bookmarkStart w:id="98" w:name="_Toc216078373"/>
      <w:bookmarkStart w:id="99" w:name="_Toc216078734"/>
      <w:bookmarkStart w:id="100" w:name="_Toc216078961"/>
      <w:bookmarkStart w:id="101" w:name="_Toc216078374"/>
      <w:bookmarkStart w:id="102" w:name="_Toc216078735"/>
      <w:bookmarkStart w:id="103" w:name="_Toc216078962"/>
      <w:bookmarkStart w:id="104" w:name="_Toc216078375"/>
      <w:bookmarkStart w:id="105" w:name="_Toc216078736"/>
      <w:bookmarkStart w:id="106" w:name="_Toc216078963"/>
      <w:bookmarkStart w:id="107" w:name="_Toc216078376"/>
      <w:bookmarkStart w:id="108" w:name="_Toc216078737"/>
      <w:bookmarkStart w:id="109" w:name="_Toc216078964"/>
      <w:bookmarkStart w:id="110" w:name="_Toc216078377"/>
      <w:bookmarkStart w:id="111" w:name="_Toc216078738"/>
      <w:bookmarkStart w:id="112" w:name="_Toc216078965"/>
      <w:bookmarkStart w:id="113" w:name="_Toc216078378"/>
      <w:bookmarkStart w:id="114" w:name="_Toc216078739"/>
      <w:bookmarkStart w:id="115" w:name="_Toc216078966"/>
      <w:bookmarkStart w:id="116" w:name="_Toc216078379"/>
      <w:bookmarkStart w:id="117" w:name="_Toc216078740"/>
      <w:bookmarkStart w:id="118" w:name="_Toc216078967"/>
      <w:bookmarkStart w:id="119" w:name="_Toc216078380"/>
      <w:bookmarkStart w:id="120" w:name="_Toc216078741"/>
      <w:bookmarkStart w:id="121" w:name="_Toc216078968"/>
      <w:bookmarkStart w:id="122" w:name="_Toc216078381"/>
      <w:bookmarkStart w:id="123" w:name="_Toc216078742"/>
      <w:bookmarkStart w:id="124" w:name="_Toc216078969"/>
      <w:bookmarkStart w:id="125" w:name="_Toc216078382"/>
      <w:bookmarkStart w:id="126" w:name="_Toc216078743"/>
      <w:bookmarkStart w:id="127" w:name="_Toc216078970"/>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752793">
        <w:rPr>
          <w:rStyle w:val="IntenseEmphasis"/>
        </w:rPr>
        <w:t>Ծրագրի 10-րդ կետ՝ իրավական ակտերի և քաղաքացիաիրավական պայմանագրերի պահանջներին համապատասխանության գնահատում</w:t>
      </w:r>
    </w:p>
    <w:p w14:paraId="45C7FB95" w14:textId="77777777" w:rsidR="00DC32E9" w:rsidRPr="00752793" w:rsidRDefault="00DC32E9" w:rsidP="00856E20">
      <w:pPr>
        <w:rPr>
          <w:lang w:bidi="hi-IN"/>
        </w:rPr>
      </w:pPr>
      <w:r w:rsidRPr="00752793">
        <w:t xml:space="preserve">Հաշվեքննիչ պալատի կողմից </w:t>
      </w:r>
      <w:r w:rsidRPr="00752793">
        <w:rPr>
          <w:lang w:bidi="hi-IN"/>
        </w:rPr>
        <w:t xml:space="preserve">2025 թվականի դեկտեմբերի 1-ի դրությամբ հավաքագրված տվյալների վերլուծությունը ցույց է տալիս, որ համայնքներում իրականացված գնումների գործընթացներում առկա են մի շարք համակարգային ռիսկեր։ Մասնավորապես՝ նկատվում է հրատապ և ոչ մրցակցային ընթացակարգերի հաճախակի կիրառում, մրցակցային դաշտի սահմանափակման և հսկողական մեխանիզմների անկատարության և/կամ չկիրառելու ռիսկեր։ </w:t>
      </w:r>
      <w:r w:rsidRPr="00752793">
        <w:rPr>
          <w:lang w:bidi="hi-IN"/>
        </w:rPr>
        <w:lastRenderedPageBreak/>
        <w:t>Այս հանգամանքները կարող են անդրադառնալ գնային առաջարկների համարժեքության, գործընթացների թափանցիկության և որոշումների հիմնավորվածության վրա։</w:t>
      </w:r>
    </w:p>
    <w:p w14:paraId="240B50FB" w14:textId="77777777" w:rsidR="00DC32E9" w:rsidRPr="00752793" w:rsidRDefault="00DC32E9" w:rsidP="00856E20">
      <w:pPr>
        <w:rPr>
          <w:lang w:bidi="hi-IN"/>
        </w:rPr>
      </w:pPr>
      <w:r w:rsidRPr="00752793">
        <w:rPr>
          <w:rFonts w:cs="Times New Roman"/>
        </w:rPr>
        <w:t xml:space="preserve">Ըստ այդմ, համայնքների գնումների գործընթացի ընդգրկումը </w:t>
      </w:r>
      <w:r w:rsidRPr="00752793">
        <w:rPr>
          <w:lang w:bidi="hi-IN"/>
        </w:rPr>
        <w:t xml:space="preserve">Հաշվեքննիչ պալատի 2026 թվականի գործունեության ծրագրում հնարավորություն է տալու գնահատել համայնքների կողմից իրականացված գնումների ընթացակարգերի ընտրության հիմնավորվածության, պայմանագրերի կնքման և կատարման կարգի պահպանման, գնային որոշումների փաստարկվածության, մրցակցության սահմանափակման, ինչպես նաև շահերի բախման հնարավոր ռիսկերը։ </w:t>
      </w:r>
    </w:p>
    <w:p w14:paraId="4F697516" w14:textId="77777777" w:rsidR="00DC32E9" w:rsidRPr="00752793" w:rsidRDefault="00DC32E9">
      <w:pPr>
        <w:pStyle w:val="Heading3"/>
        <w:rPr>
          <w:lang w:bidi="hi-IN"/>
        </w:rPr>
      </w:pPr>
      <w:bookmarkStart w:id="128" w:name="_Toc216079312"/>
      <w:r w:rsidRPr="00752793">
        <w:rPr>
          <w:lang w:bidi="hi-IN"/>
        </w:rPr>
        <w:t>Ապարանի համայնքապետարանի ֆինանսատնտեսական գործունեություն</w:t>
      </w:r>
      <w:bookmarkEnd w:id="128"/>
    </w:p>
    <w:p w14:paraId="1BBDAC01" w14:textId="77777777" w:rsidR="00DC32E9" w:rsidRPr="00752793" w:rsidRDefault="00DC32E9" w:rsidP="00866885">
      <w:pPr>
        <w:keepNext/>
        <w:keepLines/>
        <w:spacing w:before="240" w:after="360"/>
        <w:ind w:left="2835" w:hanging="2268"/>
        <w:jc w:val="left"/>
        <w:rPr>
          <w:rStyle w:val="IntenseEmphasis"/>
          <w:b w:val="0"/>
          <w:bCs/>
          <w:sz w:val="26"/>
        </w:rPr>
      </w:pPr>
      <w:bookmarkStart w:id="129" w:name="_Toc216078385"/>
      <w:bookmarkStart w:id="130" w:name="_Toc216078746"/>
      <w:bookmarkStart w:id="131" w:name="_Toc216078395"/>
      <w:bookmarkStart w:id="132" w:name="_Toc216078756"/>
      <w:bookmarkEnd w:id="129"/>
      <w:bookmarkEnd w:id="130"/>
      <w:bookmarkEnd w:id="131"/>
      <w:bookmarkEnd w:id="132"/>
      <w:r w:rsidRPr="00752793">
        <w:rPr>
          <w:rStyle w:val="IntenseEmphasis"/>
        </w:rPr>
        <w:t>Ծրագրի 11-րդ կետ՝ ֆինանսական հաշվետվության և իրավական ակտերի ու քաղաքացիաիրավական պայմանագրերի պահանջներին համապատասխանության գնահատում</w:t>
      </w:r>
    </w:p>
    <w:p w14:paraId="7CCD5591" w14:textId="77777777" w:rsidR="00DC32E9" w:rsidRPr="00752793" w:rsidRDefault="00DC32E9" w:rsidP="00856E20">
      <w:r w:rsidRPr="00752793">
        <w:t>Հաշվեքննիչ պալատի ռիսկերի վրա հիմնված թեմաների ընտրության մեթոդաբանության</w:t>
      </w:r>
      <w:r w:rsidRPr="00752793">
        <w:rPr>
          <w:vertAlign w:val="superscript"/>
        </w:rPr>
        <w:footnoteReference w:id="38"/>
      </w:r>
      <w:r w:rsidRPr="00752793">
        <w:t xml:space="preserve"> համաձայն, յուրաքանչյուր տարվա գործունեության ծրագրում պետք է նախատեսվի միմյանց չկրկնող առնվազն մեկ համայնքապետարանի ֆինանսատնտեսական գործու</w:t>
      </w:r>
      <w:r w:rsidRPr="00752793">
        <w:softHyphen/>
        <w:t>նեու</w:t>
      </w:r>
      <w:r w:rsidRPr="00752793">
        <w:softHyphen/>
        <w:t xml:space="preserve">թյան նկատմամբ հաշվեքննության թեմա՝ հաշվի առնելով հետևյալ չափանիշները. </w:t>
      </w:r>
    </w:p>
    <w:p w14:paraId="6C5883C0" w14:textId="77777777" w:rsidR="00DC32E9" w:rsidRPr="00AB79B8" w:rsidRDefault="00DC32E9" w:rsidP="00DC32E9">
      <w:pPr>
        <w:pStyle w:val="Default"/>
        <w:numPr>
          <w:ilvl w:val="0"/>
          <w:numId w:val="5"/>
        </w:numPr>
        <w:tabs>
          <w:tab w:val="left" w:pos="851"/>
        </w:tabs>
        <w:spacing w:after="0" w:line="240" w:lineRule="auto"/>
        <w:ind w:left="811" w:hanging="272"/>
        <w:jc w:val="both"/>
        <w:rPr>
          <w:rFonts w:ascii="GHEA Grapalat" w:hAnsi="GHEA Grapalat" w:cs="Times New Roman"/>
          <w:sz w:val="24"/>
          <w:szCs w:val="24"/>
          <w:lang w:val="hy-AM"/>
        </w:rPr>
      </w:pPr>
      <w:r w:rsidRPr="00AB79B8">
        <w:rPr>
          <w:rFonts w:ascii="GHEA Grapalat" w:hAnsi="GHEA Grapalat" w:cs="Times New Roman"/>
          <w:sz w:val="24"/>
          <w:szCs w:val="24"/>
          <w:lang w:val="hy-AM"/>
        </w:rPr>
        <w:t>պետական բյուջեից ֆինանսավորված դոտացիայի գումարի չափը,</w:t>
      </w:r>
    </w:p>
    <w:p w14:paraId="1AC34221" w14:textId="77777777" w:rsidR="00DC32E9" w:rsidRPr="00AB79B8" w:rsidRDefault="00DC32E9" w:rsidP="00DC32E9">
      <w:pPr>
        <w:pStyle w:val="Default"/>
        <w:numPr>
          <w:ilvl w:val="0"/>
          <w:numId w:val="5"/>
        </w:numPr>
        <w:tabs>
          <w:tab w:val="left" w:pos="851"/>
        </w:tabs>
        <w:spacing w:after="0" w:line="240" w:lineRule="auto"/>
        <w:ind w:left="811" w:hanging="272"/>
        <w:jc w:val="both"/>
        <w:rPr>
          <w:rFonts w:ascii="GHEA Grapalat" w:hAnsi="GHEA Grapalat" w:cs="Times New Roman"/>
          <w:sz w:val="24"/>
          <w:szCs w:val="24"/>
          <w:lang w:val="hy-AM"/>
        </w:rPr>
      </w:pPr>
      <w:r w:rsidRPr="00AB79B8">
        <w:rPr>
          <w:rFonts w:ascii="GHEA Grapalat" w:hAnsi="GHEA Grapalat" w:cs="Times New Roman"/>
          <w:sz w:val="24"/>
          <w:szCs w:val="24"/>
          <w:lang w:val="hy-AM"/>
        </w:rPr>
        <w:t>ֆոնդային բյուջեի տեսակարար կշիռը ընդհանուր համայնքային բյուջեում,</w:t>
      </w:r>
    </w:p>
    <w:p w14:paraId="4FCCBCAF" w14:textId="77777777" w:rsidR="00DC32E9" w:rsidRPr="00AB79B8" w:rsidRDefault="00DC32E9" w:rsidP="00DC32E9">
      <w:pPr>
        <w:pStyle w:val="Default"/>
        <w:numPr>
          <w:ilvl w:val="0"/>
          <w:numId w:val="5"/>
        </w:numPr>
        <w:tabs>
          <w:tab w:val="left" w:pos="851"/>
        </w:tabs>
        <w:spacing w:after="0" w:line="240" w:lineRule="auto"/>
        <w:ind w:left="811" w:hanging="272"/>
        <w:jc w:val="both"/>
        <w:rPr>
          <w:rFonts w:ascii="GHEA Grapalat" w:hAnsi="GHEA Grapalat" w:cs="Times New Roman"/>
          <w:sz w:val="24"/>
          <w:szCs w:val="24"/>
          <w:lang w:val="hy-AM"/>
        </w:rPr>
      </w:pPr>
      <w:r w:rsidRPr="00AB79B8">
        <w:rPr>
          <w:rFonts w:ascii="GHEA Grapalat" w:hAnsi="GHEA Grapalat" w:cs="Times New Roman"/>
          <w:sz w:val="24"/>
          <w:szCs w:val="24"/>
          <w:lang w:val="hy-AM"/>
        </w:rPr>
        <w:t>աշխատանքի վարձատրության և հավասարեցված վճարներից բացի ծախսերի տեսակարար կշիռը վարչական ծախսերում,</w:t>
      </w:r>
    </w:p>
    <w:p w14:paraId="7C6F7776" w14:textId="77777777" w:rsidR="00DC32E9" w:rsidRPr="00AB79B8" w:rsidRDefault="00DC32E9" w:rsidP="00DC32E9">
      <w:pPr>
        <w:pStyle w:val="Default"/>
        <w:numPr>
          <w:ilvl w:val="0"/>
          <w:numId w:val="5"/>
        </w:numPr>
        <w:tabs>
          <w:tab w:val="left" w:pos="851"/>
        </w:tabs>
        <w:spacing w:after="0" w:line="240" w:lineRule="auto"/>
        <w:ind w:left="811" w:hanging="272"/>
        <w:jc w:val="both"/>
        <w:rPr>
          <w:rFonts w:ascii="GHEA Grapalat" w:hAnsi="GHEA Grapalat" w:cs="Times New Roman"/>
          <w:sz w:val="24"/>
          <w:szCs w:val="24"/>
          <w:lang w:val="hy-AM"/>
        </w:rPr>
      </w:pPr>
      <w:r w:rsidRPr="00AB79B8">
        <w:rPr>
          <w:rFonts w:ascii="GHEA Grapalat" w:hAnsi="GHEA Grapalat" w:cs="Times New Roman"/>
          <w:sz w:val="24"/>
          <w:szCs w:val="24"/>
          <w:lang w:val="hy-AM"/>
        </w:rPr>
        <w:t>պետական բյուջեից հատկացված սուբվենցիաների և այլ միջոցների չափը,</w:t>
      </w:r>
    </w:p>
    <w:p w14:paraId="5B46EDAA" w14:textId="77777777" w:rsidR="00DC32E9" w:rsidRPr="00AB79B8" w:rsidRDefault="00DC32E9" w:rsidP="00DC32E9">
      <w:pPr>
        <w:pStyle w:val="Default"/>
        <w:numPr>
          <w:ilvl w:val="0"/>
          <w:numId w:val="5"/>
        </w:numPr>
        <w:tabs>
          <w:tab w:val="left" w:pos="851"/>
        </w:tabs>
        <w:spacing w:after="0" w:line="240" w:lineRule="auto"/>
        <w:ind w:left="811" w:hanging="272"/>
        <w:jc w:val="both"/>
        <w:rPr>
          <w:rFonts w:ascii="GHEA Grapalat" w:hAnsi="GHEA Grapalat" w:cs="Times New Roman"/>
          <w:sz w:val="24"/>
          <w:szCs w:val="24"/>
          <w:lang w:val="hy-AM"/>
        </w:rPr>
      </w:pPr>
      <w:r w:rsidRPr="00AB79B8">
        <w:rPr>
          <w:rFonts w:ascii="GHEA Grapalat" w:hAnsi="GHEA Grapalat" w:cs="Times New Roman"/>
          <w:sz w:val="24"/>
          <w:szCs w:val="24"/>
          <w:lang w:val="hy-AM"/>
        </w:rPr>
        <w:t>ոչ ֆինանսական ակտիվների իրացումից մուտքերի չափը,</w:t>
      </w:r>
    </w:p>
    <w:p w14:paraId="4B188014" w14:textId="77777777" w:rsidR="00DC32E9" w:rsidRPr="00AB79B8" w:rsidRDefault="00DC32E9" w:rsidP="00DC32E9">
      <w:pPr>
        <w:pStyle w:val="Default"/>
        <w:numPr>
          <w:ilvl w:val="0"/>
          <w:numId w:val="5"/>
        </w:numPr>
        <w:tabs>
          <w:tab w:val="left" w:pos="851"/>
        </w:tabs>
        <w:spacing w:after="0" w:line="240" w:lineRule="auto"/>
        <w:ind w:left="811" w:hanging="272"/>
        <w:jc w:val="both"/>
        <w:rPr>
          <w:rFonts w:ascii="GHEA Grapalat" w:hAnsi="GHEA Grapalat" w:cs="Times New Roman"/>
          <w:sz w:val="24"/>
          <w:szCs w:val="24"/>
          <w:lang w:val="hy-AM"/>
        </w:rPr>
      </w:pPr>
      <w:r w:rsidRPr="00AB79B8">
        <w:rPr>
          <w:rFonts w:ascii="GHEA Grapalat" w:hAnsi="GHEA Grapalat" w:cs="Times New Roman"/>
          <w:sz w:val="24"/>
          <w:szCs w:val="24"/>
          <w:lang w:val="hy-AM"/>
        </w:rPr>
        <w:t>համայնքի ղեկավարին պատվիրակված լիազորությունների իրականացման նպատակով՝ պետական բյուջեից հատկացված միջոցների չափը,</w:t>
      </w:r>
    </w:p>
    <w:p w14:paraId="05F659A2" w14:textId="67A98962" w:rsidR="00DC32E9" w:rsidRPr="00AB79B8" w:rsidRDefault="00DC32E9" w:rsidP="00DC32E9">
      <w:pPr>
        <w:pStyle w:val="Default"/>
        <w:numPr>
          <w:ilvl w:val="0"/>
          <w:numId w:val="5"/>
        </w:numPr>
        <w:tabs>
          <w:tab w:val="left" w:pos="851"/>
        </w:tabs>
        <w:spacing w:after="0" w:line="240" w:lineRule="auto"/>
        <w:ind w:left="811" w:hanging="272"/>
        <w:jc w:val="both"/>
        <w:rPr>
          <w:rFonts w:ascii="GHEA Grapalat" w:hAnsi="GHEA Grapalat" w:cs="Times New Roman"/>
          <w:sz w:val="24"/>
          <w:szCs w:val="24"/>
          <w:lang w:val="hy-AM"/>
        </w:rPr>
      </w:pPr>
      <w:r w:rsidRPr="00AB79B8">
        <w:rPr>
          <w:rFonts w:ascii="GHEA Grapalat" w:hAnsi="GHEA Grapalat" w:cs="Times New Roman"/>
          <w:sz w:val="24"/>
          <w:szCs w:val="24"/>
          <w:lang w:val="hy-AM"/>
        </w:rPr>
        <w:t xml:space="preserve">զանգվածային լրատվության միջոցներով լուսաբանվող հանրության վերաբերմունքը ծրագրի իրականացման ընթացքի վերաբերյալ </w:t>
      </w:r>
      <w:r w:rsidR="00443956" w:rsidRPr="00443956">
        <w:rPr>
          <w:rFonts w:ascii="GHEA Grapalat" w:hAnsi="GHEA Grapalat" w:cs="Times New Roman"/>
          <w:sz w:val="24"/>
          <w:szCs w:val="24"/>
          <w:lang w:val="hy-AM"/>
        </w:rPr>
        <w:t>(</w:t>
      </w:r>
      <w:r w:rsidRPr="00AB79B8">
        <w:rPr>
          <w:rFonts w:ascii="GHEA Grapalat" w:hAnsi="GHEA Grapalat" w:cs="Times New Roman"/>
          <w:sz w:val="24"/>
          <w:szCs w:val="24"/>
          <w:lang w:val="hy-AM"/>
        </w:rPr>
        <w:t>եթե ծրագրի նախագծի կազմման պահի դրությամբ հանրության վերաբերմունքը ծրագրի նկատմամբ բացասական է, ապա առաջնահերթությունը բարձր է, եթե չեզոք է՝ միջին, եթե դրական է՝ ցածր</w:t>
      </w:r>
      <w:r w:rsidR="00443956" w:rsidRPr="00443956">
        <w:rPr>
          <w:rFonts w:ascii="GHEA Grapalat" w:hAnsi="GHEA Grapalat" w:cs="Times New Roman"/>
          <w:sz w:val="24"/>
          <w:szCs w:val="24"/>
          <w:lang w:val="hy-AM"/>
        </w:rPr>
        <w:t>)</w:t>
      </w:r>
      <w:r w:rsidRPr="00AB79B8">
        <w:rPr>
          <w:rFonts w:ascii="GHEA Grapalat" w:hAnsi="GHEA Grapalat" w:cs="Times New Roman"/>
          <w:sz w:val="24"/>
          <w:szCs w:val="24"/>
          <w:lang w:val="hy-AM"/>
        </w:rPr>
        <w:t>։</w:t>
      </w:r>
    </w:p>
    <w:p w14:paraId="56D95193" w14:textId="726DC878" w:rsidR="00DC32E9" w:rsidRPr="00752793" w:rsidRDefault="00DC32E9" w:rsidP="00856E20">
      <w:r w:rsidRPr="00752793">
        <w:t xml:space="preserve">Համայնքապետարանի ընտրության նպատակով վերլուծվել են 2024թ. տարեկան ցուցանիշները (գործունեության ծրագրի մշակման և հաստատման պահին չէին կարող հասանելի լինել 2025թ. ցուցանիշները)։ Արդյունքում, առնվազն երեք չափանիշով ամենամեծ ցուցանիշ ունենալու հանգամանքով պայմանավորված ծրագրում ներառվել Արագածոտնի մարզի </w:t>
      </w:r>
      <w:r w:rsidRPr="00752793">
        <w:lastRenderedPageBreak/>
        <w:t>Ապարանի համայնքապետարանի ֆինանսատնտեսական գործունեության հաշվեքննության թեման։</w:t>
      </w:r>
    </w:p>
    <w:p w14:paraId="35F1428C" w14:textId="484CC18B" w:rsidR="00DC32E9" w:rsidRPr="00752793" w:rsidRDefault="00CF656C" w:rsidP="00866885">
      <w:pPr>
        <w:pStyle w:val="Subtitle"/>
        <w:ind w:left="567" w:firstLine="0"/>
        <w:rPr>
          <w:sz w:val="28"/>
          <w:szCs w:val="28"/>
        </w:rPr>
      </w:pPr>
      <w:r w:rsidRPr="00752793">
        <w:rPr>
          <w:sz w:val="28"/>
          <w:szCs w:val="28"/>
        </w:rPr>
        <w:t xml:space="preserve">Հաշվեքննիչ պալատի </w:t>
      </w:r>
      <w:r w:rsidR="00AB79B8">
        <w:rPr>
          <w:sz w:val="28"/>
          <w:szCs w:val="28"/>
        </w:rPr>
        <w:t>2025 թվականի գ</w:t>
      </w:r>
      <w:r w:rsidR="0090651D" w:rsidRPr="00752793">
        <w:rPr>
          <w:sz w:val="28"/>
          <w:szCs w:val="28"/>
        </w:rPr>
        <w:t>ործունեության ծրագր</w:t>
      </w:r>
      <w:r w:rsidR="00AB79B8">
        <w:rPr>
          <w:sz w:val="28"/>
          <w:szCs w:val="28"/>
        </w:rPr>
        <w:t>ում ներառված և չմեկնարկած ու 2026 թվականի ծրագիր չտեղափոխված</w:t>
      </w:r>
      <w:r w:rsidR="0090651D" w:rsidRPr="00752793">
        <w:rPr>
          <w:sz w:val="28"/>
          <w:szCs w:val="28"/>
        </w:rPr>
        <w:t xml:space="preserve"> թեմաներ</w:t>
      </w:r>
    </w:p>
    <w:p w14:paraId="32021B59" w14:textId="5327A4C9" w:rsidR="00DC32E9" w:rsidRPr="00752793" w:rsidRDefault="00DC32E9" w:rsidP="00856E20">
      <w:r w:rsidRPr="00752793">
        <w:t xml:space="preserve">Հաշվեքննիչ պալատի 2026 թվականի գործունեության ծրագրի ձևավորման գործընթացում իրականացվել է թեմաների համապարփակ վերլուծություն՝ հիմք ընդունելով Հաշվեքննության 2026–2028թթ. առաջնահերթությունների վերաբերյալ պետական կառավարման մարմիններից ստացված գրավոր արձագանքները, ինչպես նաև տվյալ ոլորտներում ընթացող </w:t>
      </w:r>
      <w:r w:rsidR="006E70BF" w:rsidRPr="00752793">
        <w:t>գործընթացները</w:t>
      </w:r>
      <w:r w:rsidRPr="00752793">
        <w:t>։</w:t>
      </w:r>
    </w:p>
    <w:p w14:paraId="15DFECF7" w14:textId="77777777" w:rsidR="00DC32E9" w:rsidRPr="00752793" w:rsidRDefault="00DC32E9" w:rsidP="00856E20">
      <w:r w:rsidRPr="00752793">
        <w:t>Ծրագրի մշակման ընթացքում հաշվի է առնվել այն հանգամանքը, որ մի շարք թեմաներ ներառված էին նաև Հաշվեքննիչ պալատի 2025 թվականի գործունեության ծրագրում, սակայն դրանցից մի մասի դեպքում ոլորտային քաղաքականությունների իրականացումը գտնվում է ընթացակարգային ձևավորման և բարեփոխումների ակտիվ փուլում, ինչով պայմանավորված՝ հաշվեքննության իրականացումը տվյալ պահին կարող է չապահովել լիարժեք, օբյեկտիվ և չափելի արդյունքներ։</w:t>
      </w:r>
    </w:p>
    <w:p w14:paraId="4A928C15" w14:textId="77777777" w:rsidR="00DC32E9" w:rsidRPr="00752793" w:rsidRDefault="00DC32E9" w:rsidP="00856E20">
      <w:r w:rsidRPr="00752793">
        <w:t>Միաժամանակ, «Հաշվեքննության 2026–2028թթ. առաջնահերթությունները» նախագծային փաստաթուղթը արտաքին շրջանառության դնելիս ոլորտային նախարարություններից ստացվել են արձագանքներ, որոնց համաձայն՝ մի շարք ուղղություններով դեռևս չեն ավարտվել իրավական կարգավորումների վերանայման, գործիքների ներդրման կամ ինստիտուցիոնալ կարողությունների ձևավորման գործընթացները։ Այդ հանգամանքը հիմք է հանդիսացել առանձին թեմաների հաշվեքննությունն առավել նպատակահարմար ժամկետ տեղափոխելու համար։</w:t>
      </w:r>
    </w:p>
    <w:p w14:paraId="7314DEFD" w14:textId="77777777" w:rsidR="00DC32E9" w:rsidRPr="00752793" w:rsidRDefault="00DC32E9" w:rsidP="00856E20">
      <w:pPr>
        <w:rPr>
          <w:rFonts w:cs="Cambria Math"/>
        </w:rPr>
      </w:pPr>
      <w:r w:rsidRPr="00752793">
        <w:t>Վերոնշյալով պայմանավորված՝ Հաշվեքննիչ պալատի 2026 թվականի գործունեության ծրագրի 1-ին բաժնում չեն ներառվել հետևյալ թեմաները</w:t>
      </w:r>
      <w:r w:rsidRPr="00752793">
        <w:rPr>
          <w:rFonts w:ascii="Cambria Math" w:hAnsi="Cambria Math" w:cs="Cambria Math"/>
        </w:rPr>
        <w:t>․</w:t>
      </w:r>
    </w:p>
    <w:p w14:paraId="02BB7631" w14:textId="77777777" w:rsidR="00DC32E9" w:rsidRPr="00752793" w:rsidRDefault="00DC32E9" w:rsidP="00856E20"/>
    <w:p w14:paraId="6CB1E707" w14:textId="77777777" w:rsidR="00DC32E9" w:rsidRPr="00752793" w:rsidRDefault="00DC32E9" w:rsidP="00866885">
      <w:pPr>
        <w:ind w:left="567" w:hanging="567"/>
        <w:rPr>
          <w:b/>
          <w:bCs/>
        </w:rPr>
      </w:pPr>
      <w:r w:rsidRPr="00752793">
        <w:rPr>
          <w:b/>
          <w:bCs/>
          <w:lang w:bidi="hi-IN"/>
        </w:rPr>
        <w:t>1. Պետության կողմից ձևավորվող մասնագիտական կրթության առաջարկի համապատասխանություն աշխատաշուկայի ներկա և կանխատեսվող պահանջարկին</w:t>
      </w:r>
      <w:r w:rsidRPr="00752793">
        <w:rPr>
          <w:rStyle w:val="FootnoteReference"/>
          <w:b/>
          <w:bCs/>
        </w:rPr>
        <w:footnoteReference w:id="39"/>
      </w:r>
    </w:p>
    <w:p w14:paraId="0976CEFB" w14:textId="77777777" w:rsidR="00DC32E9" w:rsidRPr="00752793" w:rsidRDefault="00DC32E9" w:rsidP="00856E20">
      <w:r w:rsidRPr="00752793">
        <w:rPr>
          <w:rFonts w:eastAsia="GHEA Grapalat" w:cs="GHEA Grapalat"/>
        </w:rPr>
        <w:t xml:space="preserve">2024թ. հունիսի 24-ին ուժի մեջ է մտել «Մասնագիտական կրթության և ուսուցման մասին» նոր օրենքը, որով նախատեսվում է </w:t>
      </w:r>
      <w:r w:rsidRPr="00752793">
        <w:rPr>
          <w:color w:val="000000" w:themeColor="text1"/>
        </w:rPr>
        <w:t>օրենքից բխող ենթաօրենսդրական ակտերի մշակում, վերանայում: Ներկայումս մեկնարկել է իրավական ակտերի մշակման, վերանայման գործընթացը</w:t>
      </w:r>
      <w:r w:rsidRPr="00752793">
        <w:t xml:space="preserve">, որը դեռևս չի ավարտվել, հետևաբար  տվյալ թեմայով հաշվեքննության </w:t>
      </w:r>
      <w:r w:rsidRPr="00752793">
        <w:lastRenderedPageBreak/>
        <w:t>իրականացումը 2026 թվականին կարող է չարտացոլել քաղաքականության իրական ազդեցությունը և միջամտության ամբողջական արդյունքայնությունը։</w:t>
      </w:r>
    </w:p>
    <w:p w14:paraId="4CB05BCA" w14:textId="77777777" w:rsidR="00DC32E9" w:rsidRPr="00752793" w:rsidRDefault="00DC32E9" w:rsidP="00866885">
      <w:pPr>
        <w:ind w:left="567" w:hanging="567"/>
        <w:rPr>
          <w:b/>
          <w:bCs/>
          <w:lang w:bidi="hi-IN"/>
        </w:rPr>
      </w:pPr>
      <w:r w:rsidRPr="00752793">
        <w:rPr>
          <w:b/>
          <w:bCs/>
          <w:lang w:bidi="hi-IN"/>
        </w:rPr>
        <w:t>2. Երթևեկության անվտանգություն</w:t>
      </w:r>
      <w:r w:rsidRPr="00443956">
        <w:rPr>
          <w:vertAlign w:val="superscript"/>
          <w:lang w:bidi="hi-IN"/>
        </w:rPr>
        <w:footnoteReference w:id="40"/>
      </w:r>
    </w:p>
    <w:p w14:paraId="2D006966" w14:textId="46FE2C60" w:rsidR="00DC32E9" w:rsidRPr="00752793" w:rsidRDefault="00DC32E9" w:rsidP="00856E20">
      <w:r w:rsidRPr="00752793">
        <w:t xml:space="preserve">Հաշվի առնելով երթևեկության անվտանգության ոլորտում իրականացվող շարունակական ենթակառուցվածքային կատարելագործման գործընթացները, ինչպես նաև պաշտոնական վիճակագրական տվյալների համաձայն ՀՀ-ում ճանապարհատրանսպորտային պատահարներից մահերի թվաքանակի վերջին տարիներին նվազման կայուն միտումը, «Երթևեկության անվտանգություն» թեմային հաշվեքննության իրականացումը պարունակում է համեմատաբար սահմանափակ բարելավման ներուժ՝ «փողի դիմաց առավելագույն արժեք» սկզբունքի տեսանկյունից: </w:t>
      </w:r>
    </w:p>
    <w:p w14:paraId="03D84C18" w14:textId="747BBEFB" w:rsidR="00DC32E9" w:rsidRPr="00752793" w:rsidRDefault="00DC32E9" w:rsidP="00856E20">
      <w:r w:rsidRPr="00752793">
        <w:rPr>
          <w:rFonts w:eastAsia="Times New Roman" w:cs="Times New Roman"/>
        </w:rPr>
        <w:t>Միաժամանակ,  նշված ուղղությունները շարունակում են մնալ Հաշվեքննիչ պալատի</w:t>
      </w:r>
      <w:r w:rsidRPr="00752793">
        <w:t xml:space="preserve"> ռազմավարական դիտարկման շրջանակում։ Հաշվեքննիչ պալատը պարբերաբար </w:t>
      </w:r>
      <w:r w:rsidR="002E234D" w:rsidRPr="00752793">
        <w:t xml:space="preserve">կդիտարկի </w:t>
      </w:r>
      <w:r w:rsidRPr="00752793">
        <w:t xml:space="preserve">ոլորտում ցուցանիշների դինամիկան, իրականացվող միջոցառումները </w:t>
      </w:r>
      <w:r w:rsidR="002E234D" w:rsidRPr="00752793">
        <w:t xml:space="preserve">ու </w:t>
      </w:r>
      <w:r w:rsidRPr="00752793">
        <w:t xml:space="preserve">հանրային </w:t>
      </w:r>
      <w:r w:rsidR="002E234D" w:rsidRPr="00752793">
        <w:t>ռիսկերը</w:t>
      </w:r>
      <w:r w:rsidRPr="00752793">
        <w:t xml:space="preserve">, և անհրաժեշտության դեպքում, իրավիճակի փոփոխման կամ բարելավման նշանակալի ներուժի ի հայտ գալու պարագայում, </w:t>
      </w:r>
      <w:r w:rsidR="002E234D" w:rsidRPr="00752793">
        <w:t xml:space="preserve">կքննարկի </w:t>
      </w:r>
      <w:r w:rsidRPr="00752793">
        <w:t>հաշվեքննությ</w:t>
      </w:r>
      <w:r w:rsidR="002E234D" w:rsidRPr="00752793">
        <w:t>ու</w:t>
      </w:r>
      <w:r w:rsidRPr="00752793">
        <w:t xml:space="preserve">ն </w:t>
      </w:r>
      <w:r w:rsidR="002E234D" w:rsidRPr="00752793">
        <w:t>նախաձեռնելու նպատակահարմարությունը</w:t>
      </w:r>
      <w:r w:rsidRPr="00752793">
        <w:t>։</w:t>
      </w:r>
    </w:p>
    <w:p w14:paraId="43FB3A8D" w14:textId="58C01557" w:rsidR="00DC32E9" w:rsidRPr="00443956" w:rsidRDefault="007528AA">
      <w:pPr>
        <w:pStyle w:val="Heading4"/>
        <w:rPr>
          <w:lang w:val="hy-AM"/>
        </w:rPr>
      </w:pPr>
      <w:r w:rsidRPr="00443956">
        <w:rPr>
          <w:lang w:val="hy-AM"/>
        </w:rPr>
        <w:t xml:space="preserve">ԾՐԱԳՐԻ </w:t>
      </w:r>
      <w:bookmarkStart w:id="133" w:name="_Toc216079313"/>
      <w:r w:rsidR="00DC32E9" w:rsidRPr="00443956">
        <w:rPr>
          <w:lang w:val="hy-AM"/>
        </w:rPr>
        <w:t>2-</w:t>
      </w:r>
      <w:r w:rsidRPr="00443956">
        <w:rPr>
          <w:lang w:val="hy-AM"/>
        </w:rPr>
        <w:t>ՐԴ</w:t>
      </w:r>
      <w:r w:rsidR="00DC32E9" w:rsidRPr="00443956">
        <w:rPr>
          <w:lang w:val="hy-AM"/>
        </w:rPr>
        <w:t xml:space="preserve"> ԲԱԺԻՆ</w:t>
      </w:r>
      <w:bookmarkEnd w:id="133"/>
    </w:p>
    <w:p w14:paraId="23234052" w14:textId="77777777" w:rsidR="00DC32E9" w:rsidRPr="00752793" w:rsidRDefault="00DC32E9" w:rsidP="00856E20">
      <w:r w:rsidRPr="00752793">
        <w:t>Եվրասիական տնտեսական միության մասին պայմանագրի համաձայն ԵԱՏՄ անդամ պետությունների բարձրագույն հաշվեքննիչ/վերահսկողության մարմինների հետ համատեղ Հաշվեքննիչ պալատն իրականացնում է՝</w:t>
      </w:r>
    </w:p>
    <w:p w14:paraId="1A6752C6" w14:textId="77777777" w:rsidR="00DC32E9" w:rsidRPr="00752793" w:rsidRDefault="00DC32E9" w:rsidP="00856E20">
      <w:r w:rsidRPr="00752793">
        <w:t xml:space="preserve">1. «Ներմուծման մաքսատուրքերի (համարժեք այլ տուրքերի, հարկերի եւ վճարների) գումարները հաշվեգրելու եւ բաշխելու, դրանք որպես եկամուտ անդամ պետությունների բյուջեներ փոխանցելու կարգի մասին» արձանագրության պահպանման նկատմամբ» համաձայնագրով </w:t>
      </w:r>
      <w:r w:rsidRPr="00752793">
        <w:rPr>
          <w:rFonts w:ascii="Calibri" w:hAnsi="Calibri" w:cs="Calibri"/>
        </w:rPr>
        <w:t> </w:t>
      </w:r>
      <w:r w:rsidRPr="00752793">
        <w:t>սահմանված պարտավորությունների կատարման նկատմամբ հսկողական միջոցառումներ:</w:t>
      </w:r>
    </w:p>
    <w:p w14:paraId="08DF2643" w14:textId="77777777" w:rsidR="00DC32E9" w:rsidRPr="00752793" w:rsidRDefault="00DC32E9" w:rsidP="00856E20">
      <w:r w:rsidRPr="00752793">
        <w:t>2. Եվրասիական տնտեսական միության մարմիններում (Եվրասիական տնտեսական հանձնաժողով և Եվրասիական միության դատարան) Միության բյուջեի միջոցների ձևավորման, կառավարման ու տնօրինման, Միության գույքի և այլ ակտիվների արդյունավետ օգտագործման վերաբերյալ համատեղ արտաքին աուդիտ:</w:t>
      </w:r>
    </w:p>
    <w:p w14:paraId="63A8781F" w14:textId="49CF8A71" w:rsidR="00DC32E9" w:rsidRPr="00443956" w:rsidRDefault="00DC32E9">
      <w:pPr>
        <w:pStyle w:val="Heading4"/>
        <w:rPr>
          <w:lang w:val="hy-AM"/>
        </w:rPr>
      </w:pPr>
      <w:bookmarkStart w:id="134" w:name="_Toc216079314"/>
      <w:r w:rsidRPr="00443956">
        <w:rPr>
          <w:rStyle w:val="Heading1Char"/>
          <w:b/>
          <w:bCs/>
          <w:sz w:val="24"/>
          <w:lang w:val="hy-AM"/>
        </w:rPr>
        <w:lastRenderedPageBreak/>
        <w:t>ԾՐԱԳՐԻ 3-</w:t>
      </w:r>
      <w:r w:rsidR="006944B1" w:rsidRPr="00443956">
        <w:rPr>
          <w:rStyle w:val="Heading1Char"/>
          <w:b/>
          <w:bCs/>
          <w:sz w:val="24"/>
          <w:lang w:val="hy-AM"/>
        </w:rPr>
        <w:t xml:space="preserve">ՐԴ </w:t>
      </w:r>
      <w:r w:rsidRPr="00443956">
        <w:rPr>
          <w:rStyle w:val="Heading1Char"/>
          <w:b/>
          <w:bCs/>
          <w:sz w:val="24"/>
          <w:lang w:val="hy-AM"/>
        </w:rPr>
        <w:t>ԲԱԺԻՆ</w:t>
      </w:r>
      <w:bookmarkEnd w:id="134"/>
    </w:p>
    <w:p w14:paraId="32CD7EFA" w14:textId="77777777" w:rsidR="00DC32E9" w:rsidRPr="00752793" w:rsidRDefault="00DC32E9" w:rsidP="00866885">
      <w:r w:rsidRPr="00752793">
        <w:t>Հաշվեքննիչ պալատի 2026-2032 թվականների ռազմավարական զարգացման առաջնահերթությունները կենտրոնացած են ՀՊ նոր խմբագրությամբ օրենքով սահմանված ժամանակակից կառավարման մոդելին ՀՊ կառուցվածքի համապատասխանեցման, հաշվեքննության արդյունքների որակի բարձրացման, ՀՊ մարդկային կապիտալի զարգացման, հաղորդակցության և ռազմավարական գործընկերությունների ամրապնդման վրա։</w:t>
      </w:r>
    </w:p>
    <w:p w14:paraId="572DBD7E" w14:textId="07BCD4AA" w:rsidR="00DC32E9" w:rsidRPr="00752793" w:rsidRDefault="00DC32E9" w:rsidP="00856E20">
      <w:r w:rsidRPr="00752793">
        <w:t xml:space="preserve">Ռազմավարական զարգացման 2026-2032թթ. ծրագիրը նպատակաուղղված է հաշվեքննության որակի և ազդեցության բարձրացմանը, </w:t>
      </w:r>
      <w:r w:rsidR="006D5F7D" w:rsidRPr="00752793">
        <w:t>Հաշվեքննիչ պ</w:t>
      </w:r>
      <w:r w:rsidRPr="00752793">
        <w:t>ալատի կառավարման համակարգի կատարելագործմանը, մարդկային կապիտալի զարգացմանը, ինչպես նաև հաղորդակցության և ռազմավարական գործընկերությունների ամրապնդմանը՝ հանրային հաշվետվողականության և հանրության վստահության բարձրացման</w:t>
      </w:r>
      <w:r w:rsidR="006D5F7D" w:rsidRPr="00752793">
        <w:t xml:space="preserve"> նպատակադրմամբ</w:t>
      </w:r>
      <w:r w:rsidRPr="00752793">
        <w:t>։ Ռազմավարական զարգացման շրջանակում սահմանված առաջնահերթություններն ու ուղղությունները ենթակա են փուլային իրագործման՝ յուրաքանչյուր տարվա գործունեության ծրագրերի միջոցով։ Մասնավորապես, տվյալ բաժնում ներառված են 2026 թվականին իրականաց</w:t>
      </w:r>
      <w:r w:rsidR="006D5F7D" w:rsidRPr="00752793">
        <w:t>ման ենթակա</w:t>
      </w:r>
      <w:r w:rsidRPr="00752793">
        <w:t xml:space="preserve"> միջոցառումները, որոնք բխում են ռազմավարական զարգացման ընդհանուր նպատակներից և ուղղված են </w:t>
      </w:r>
      <w:r w:rsidR="006D5F7D" w:rsidRPr="00752793">
        <w:t xml:space="preserve">արտաքին պետական հաշվեքննության </w:t>
      </w:r>
      <w:r w:rsidRPr="00752793">
        <w:t xml:space="preserve">զարգացման առաջնահերթությունների </w:t>
      </w:r>
      <w:r w:rsidR="00D06B40" w:rsidRPr="00752793">
        <w:t>գործնական իրագործմանը։</w:t>
      </w:r>
    </w:p>
    <w:sectPr w:rsidR="00DC32E9" w:rsidRPr="00752793" w:rsidSect="007354A6">
      <w:headerReference w:type="default" r:id="rId20"/>
      <w:footerReference w:type="default" r:id="rId21"/>
      <w:pgSz w:w="12240" w:h="15840"/>
      <w:pgMar w:top="426" w:right="616" w:bottom="426" w:left="993" w:header="720" w:footer="5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3C2EA" w14:textId="77777777" w:rsidR="00764071" w:rsidRDefault="00764071" w:rsidP="00856E20">
      <w:r>
        <w:separator/>
      </w:r>
    </w:p>
  </w:endnote>
  <w:endnote w:type="continuationSeparator" w:id="0">
    <w:p w14:paraId="6FB6B0E1" w14:textId="77777777" w:rsidR="00764071" w:rsidRDefault="00764071" w:rsidP="00856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CB637" w14:textId="6DB485BB" w:rsidR="00DB45D3" w:rsidRPr="00866885" w:rsidRDefault="00EF3C85" w:rsidP="00866885">
    <w:pPr>
      <w:pStyle w:val="Footer"/>
      <w:pBdr>
        <w:top w:val="single" w:sz="12" w:space="1" w:color="1F3864" w:themeColor="accent5" w:themeShade="80"/>
      </w:pBdr>
    </w:pPr>
    <w:r w:rsidRPr="00856E20">
      <w:t>Հաշվեքննիչ պալատի 2026 թվականի գործունեության ծրագիրը</w:t>
    </w:r>
    <w:r>
      <w:tab/>
    </w:r>
    <w:r w:rsidR="00882DDB">
      <w:t xml:space="preserve"> </w:t>
    </w:r>
    <w:r w:rsidR="00E10602">
      <w:tab/>
    </w:r>
    <w:r w:rsidR="00882DDB">
      <w:t xml:space="preserve"> </w:t>
    </w:r>
    <w:r>
      <w:rPr>
        <w:rStyle w:val="PageNumber"/>
      </w:rPr>
      <w:fldChar w:fldCharType="begin"/>
    </w:r>
    <w:r>
      <w:rPr>
        <w:rStyle w:val="PageNumber"/>
      </w:rPr>
      <w:instrText xml:space="preserve"> PAGE </w:instrText>
    </w:r>
    <w:r>
      <w:rPr>
        <w:rStyle w:val="PageNumber"/>
      </w:rPr>
      <w:fldChar w:fldCharType="separate"/>
    </w:r>
    <w:r w:rsidR="00BF4733">
      <w:rPr>
        <w:rStyle w:val="PageNumber"/>
        <w:noProof/>
      </w:rPr>
      <w:t>3</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20E6E" w14:textId="2E3D655A" w:rsidR="00882DDB" w:rsidRPr="00866885" w:rsidRDefault="00882DDB" w:rsidP="00856E20">
    <w:pPr>
      <w:pStyle w:val="Footer"/>
    </w:pPr>
    <w:r>
      <w:t>Հաշվեքննիչ պալատի 2026 թվականի գործունեության ծրագիրը</w:t>
    </w:r>
    <w:r>
      <w:tab/>
      <w:t xml:space="preserve"> </w:t>
    </w:r>
    <w:r>
      <w:tab/>
    </w:r>
    <w:r>
      <w:tab/>
    </w:r>
    <w:r>
      <w:tab/>
    </w:r>
    <w:r>
      <w:tab/>
    </w:r>
    <w:r>
      <w:tab/>
    </w:r>
    <w:r>
      <w:tab/>
    </w:r>
    <w:r>
      <w:tab/>
    </w:r>
    <w:r>
      <w:rPr>
        <w:rStyle w:val="PageNumber"/>
      </w:rPr>
      <w:fldChar w:fldCharType="begin"/>
    </w:r>
    <w:r>
      <w:rPr>
        <w:rStyle w:val="PageNumber"/>
      </w:rPr>
      <w:instrText xml:space="preserve"> PAGE </w:instrText>
    </w:r>
    <w:r>
      <w:rPr>
        <w:rStyle w:val="PageNumber"/>
      </w:rPr>
      <w:fldChar w:fldCharType="separate"/>
    </w:r>
    <w:r w:rsidR="00BF4733">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ABB6D" w14:textId="687FF86F" w:rsidR="00882DDB" w:rsidRPr="00866885" w:rsidRDefault="00882DDB" w:rsidP="00856E20">
    <w:pPr>
      <w:pStyle w:val="Footer"/>
    </w:pPr>
    <w:r>
      <w:t>Հաշվեքննիչ պալատի 2026 թվականի գործունեության ծրագիրը</w:t>
    </w:r>
    <w:r>
      <w:tab/>
    </w:r>
    <w:r>
      <w:tab/>
    </w:r>
    <w:r>
      <w:rPr>
        <w:rStyle w:val="PageNumber"/>
      </w:rPr>
      <w:fldChar w:fldCharType="begin"/>
    </w:r>
    <w:r>
      <w:rPr>
        <w:rStyle w:val="PageNumber"/>
      </w:rPr>
      <w:instrText xml:space="preserve"> PAGE </w:instrText>
    </w:r>
    <w:r>
      <w:rPr>
        <w:rStyle w:val="PageNumber"/>
      </w:rPr>
      <w:fldChar w:fldCharType="separate"/>
    </w:r>
    <w:r w:rsidR="00BF4733">
      <w:rPr>
        <w:rStyle w:val="PageNumber"/>
        <w:noProof/>
      </w:rPr>
      <w:t>18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C55C1" w14:textId="77777777" w:rsidR="00764071" w:rsidRDefault="00764071" w:rsidP="00856E20">
      <w:r>
        <w:separator/>
      </w:r>
    </w:p>
  </w:footnote>
  <w:footnote w:type="continuationSeparator" w:id="0">
    <w:p w14:paraId="505A5A62" w14:textId="77777777" w:rsidR="00764071" w:rsidRDefault="00764071" w:rsidP="00856E20">
      <w:r>
        <w:continuationSeparator/>
      </w:r>
    </w:p>
  </w:footnote>
  <w:footnote w:id="1">
    <w:p w14:paraId="70D07FF4" w14:textId="43EC10DE" w:rsidR="00F84823" w:rsidRPr="00052A08" w:rsidRDefault="00F84823" w:rsidP="00242060">
      <w:pPr>
        <w:pStyle w:val="ListParagraph"/>
        <w:numPr>
          <w:ilvl w:val="0"/>
          <w:numId w:val="0"/>
        </w:numPr>
        <w:tabs>
          <w:tab w:val="left" w:pos="993"/>
        </w:tabs>
        <w:spacing w:after="0" w:line="240" w:lineRule="auto"/>
        <w:rPr>
          <w:rFonts w:cs="Sylfaen"/>
          <w:b/>
          <w:i/>
          <w:lang w:val="hy-AM"/>
        </w:rPr>
      </w:pPr>
      <w:r>
        <w:rPr>
          <w:rStyle w:val="FootnoteReference"/>
        </w:rPr>
        <w:footnoteRef/>
      </w:r>
      <w:r w:rsidR="00242060">
        <w:rPr>
          <w:rFonts w:cs="Sylfaen"/>
          <w:bCs/>
          <w:i/>
          <w:sz w:val="20"/>
          <w:szCs w:val="20"/>
          <w:lang w:val="en-US"/>
        </w:rPr>
        <w:t xml:space="preserve"> </w:t>
      </w:r>
      <w:r w:rsidRPr="00052A08">
        <w:rPr>
          <w:rFonts w:cs="Sylfaen"/>
          <w:bCs/>
          <w:i/>
          <w:sz w:val="20"/>
          <w:szCs w:val="20"/>
          <w:lang w:val="hy-AM"/>
        </w:rPr>
        <w:t>Առաջնահերթություն 6, Ուղղություն 6.17:</w:t>
      </w:r>
    </w:p>
  </w:footnote>
  <w:footnote w:id="2">
    <w:p w14:paraId="09C9ADDA" w14:textId="21BBAD9A" w:rsidR="00F84823" w:rsidRPr="00052A08" w:rsidRDefault="00F84823" w:rsidP="00242060">
      <w:pPr>
        <w:spacing w:after="0" w:line="240" w:lineRule="auto"/>
        <w:ind w:firstLine="0"/>
        <w:rPr>
          <w:rFonts w:cs="Sylfaen"/>
          <w:b/>
          <w:i/>
        </w:rPr>
      </w:pPr>
      <w:r w:rsidRPr="00052A08">
        <w:rPr>
          <w:rStyle w:val="FootnoteReference"/>
          <w:sz w:val="16"/>
          <w:szCs w:val="16"/>
        </w:rPr>
        <w:footnoteRef/>
      </w:r>
      <w:r w:rsidRPr="00052A08">
        <w:rPr>
          <w:sz w:val="16"/>
          <w:szCs w:val="16"/>
        </w:rPr>
        <w:t xml:space="preserve">  </w:t>
      </w:r>
      <w:r w:rsidRPr="00052A08">
        <w:rPr>
          <w:i/>
          <w:iCs/>
          <w:sz w:val="20"/>
          <w:szCs w:val="20"/>
        </w:rPr>
        <w:t>Առաջնահերթություն 1, Ուղղություն 1.9:</w:t>
      </w:r>
    </w:p>
  </w:footnote>
  <w:footnote w:id="3">
    <w:p w14:paraId="191F4190" w14:textId="77777777" w:rsidR="00F84823" w:rsidRPr="00052A08" w:rsidRDefault="00F84823" w:rsidP="00F84823">
      <w:pPr>
        <w:spacing w:after="0" w:line="240" w:lineRule="auto"/>
        <w:ind w:firstLine="0"/>
        <w:rPr>
          <w:i/>
          <w:iCs/>
          <w:sz w:val="14"/>
          <w:szCs w:val="22"/>
        </w:rPr>
      </w:pPr>
      <w:r w:rsidRPr="00052A08">
        <w:rPr>
          <w:rStyle w:val="FootnoteReference"/>
          <w:sz w:val="18"/>
          <w:szCs w:val="18"/>
        </w:rPr>
        <w:footnoteRef/>
      </w:r>
      <w:r>
        <w:t xml:space="preserve"> </w:t>
      </w:r>
      <w:r w:rsidRPr="00052A08">
        <w:rPr>
          <w:i/>
          <w:iCs/>
          <w:sz w:val="20"/>
          <w:szCs w:val="28"/>
        </w:rPr>
        <w:t>Հայաստանի Հանրապետության դեղերի պետական</w:t>
      </w:r>
      <w:r w:rsidRPr="00052A08">
        <w:rPr>
          <w:rFonts w:ascii="Calibri" w:hAnsi="Calibri" w:cs="Calibri"/>
          <w:i/>
          <w:iCs/>
          <w:sz w:val="20"/>
          <w:szCs w:val="28"/>
        </w:rPr>
        <w:t> </w:t>
      </w:r>
      <w:r w:rsidRPr="00052A08">
        <w:rPr>
          <w:i/>
          <w:iCs/>
          <w:sz w:val="20"/>
          <w:szCs w:val="28"/>
        </w:rPr>
        <w:t>գրանցամատյանում</w:t>
      </w:r>
      <w:r w:rsidRPr="00052A08">
        <w:rPr>
          <w:rFonts w:ascii="Calibri" w:hAnsi="Calibri" w:cs="Calibri"/>
          <w:i/>
          <w:iCs/>
          <w:sz w:val="20"/>
          <w:szCs w:val="28"/>
        </w:rPr>
        <w:t> </w:t>
      </w:r>
      <w:r w:rsidRPr="00052A08">
        <w:rPr>
          <w:i/>
          <w:iCs/>
          <w:sz w:val="20"/>
          <w:szCs w:val="28"/>
        </w:rPr>
        <w:t>3236 անուն դեղ կա, Վրաստանում՝ գրանցված դեղերի թիվը շուրջ  8 հազ. է, Ռուսաստանի Դաշնությունում նախորդ տարեվերջին գրանցված դեղերի թիվը 18.5 հազ. է։</w:t>
      </w:r>
    </w:p>
  </w:footnote>
  <w:footnote w:id="4">
    <w:p w14:paraId="2382D575" w14:textId="77777777" w:rsidR="0082642A" w:rsidRPr="0082642A" w:rsidRDefault="0082642A" w:rsidP="00856E20">
      <w:pPr>
        <w:pStyle w:val="FootnoteText"/>
      </w:pPr>
      <w:r>
        <w:rPr>
          <w:rStyle w:val="FootnoteReference"/>
        </w:rPr>
        <w:footnoteRef/>
      </w:r>
      <w:r w:rsidRPr="005A1F21">
        <w:t xml:space="preserve"> </w:t>
      </w:r>
      <w:r w:rsidRPr="0082642A">
        <w:t>«Հաշվեքննիչ պալատի մասին» ՀՀ օրենքի 2</w:t>
      </w:r>
      <w:r w:rsidRPr="0082642A">
        <w:noBreakHyphen/>
        <w:t>րդ հոդվածի 3</w:t>
      </w:r>
      <w:r w:rsidRPr="0082642A">
        <w:noBreakHyphen/>
        <w:t>րդ մաս։</w:t>
      </w:r>
    </w:p>
  </w:footnote>
  <w:footnote w:id="5">
    <w:p w14:paraId="6D43B973" w14:textId="405D3804" w:rsidR="0082642A" w:rsidRPr="0082642A" w:rsidRDefault="0082642A" w:rsidP="00856E20">
      <w:pPr>
        <w:pStyle w:val="FootnoteText"/>
      </w:pPr>
      <w:r>
        <w:rPr>
          <w:rStyle w:val="FootnoteReference"/>
        </w:rPr>
        <w:footnoteRef/>
      </w:r>
      <w:r w:rsidRPr="005A1F21">
        <w:t xml:space="preserve"> </w:t>
      </w:r>
      <w:r w:rsidRPr="0082642A">
        <w:t>Հաստատված է Հաշվեքննիչ պալատի 07.10.2025թ N</w:t>
      </w:r>
      <w:r w:rsidRPr="0082642A">
        <w:rPr>
          <w:u w:val="single"/>
          <w:vertAlign w:val="superscript"/>
        </w:rPr>
        <w:t>o</w:t>
      </w:r>
      <w:r w:rsidRPr="0082642A">
        <w:rPr>
          <w:rFonts w:ascii="Cambria" w:hAnsi="Cambria"/>
        </w:rPr>
        <w:t> </w:t>
      </w:r>
      <w:r w:rsidRPr="0082642A">
        <w:t>67</w:t>
      </w:r>
      <w:r w:rsidRPr="0082642A">
        <w:noBreakHyphen/>
        <w:t xml:space="preserve">Լ որոշմամբ (կարելի է ծանոթանալ հետևյալ </w:t>
      </w:r>
      <w:hyperlink r:id="rId1" w:history="1">
        <w:r w:rsidRPr="009A1671">
          <w:rPr>
            <w:rStyle w:val="Hyperlink"/>
          </w:rPr>
          <w:t>հղմամբ</w:t>
        </w:r>
      </w:hyperlink>
      <w:r w:rsidRPr="0082642A">
        <w:t>)</w:t>
      </w:r>
      <w:r>
        <w:t>:</w:t>
      </w:r>
    </w:p>
  </w:footnote>
  <w:footnote w:id="6">
    <w:p w14:paraId="5A2E69B6" w14:textId="015652E4" w:rsidR="0082642A" w:rsidRPr="0082642A" w:rsidRDefault="0082642A" w:rsidP="00856E20">
      <w:pPr>
        <w:pStyle w:val="FootnoteText"/>
      </w:pPr>
      <w:r>
        <w:rPr>
          <w:rStyle w:val="FootnoteReference"/>
        </w:rPr>
        <w:footnoteRef/>
      </w:r>
      <w:r w:rsidRPr="005A1F21">
        <w:t xml:space="preserve"> </w:t>
      </w:r>
      <w:r w:rsidRPr="0082642A">
        <w:t>Հաստատված է Հաշվեքննիչ պալատի 27.11.2025թ N</w:t>
      </w:r>
      <w:r w:rsidRPr="0082642A">
        <w:rPr>
          <w:u w:val="single"/>
          <w:vertAlign w:val="superscript"/>
        </w:rPr>
        <w:t>o</w:t>
      </w:r>
      <w:r w:rsidRPr="0082642A">
        <w:rPr>
          <w:rFonts w:ascii="Cambria" w:hAnsi="Cambria"/>
        </w:rPr>
        <w:t> </w:t>
      </w:r>
      <w:r w:rsidR="009A1671" w:rsidRPr="009A1671">
        <w:t>82</w:t>
      </w:r>
      <w:r w:rsidRPr="0082642A">
        <w:noBreakHyphen/>
        <w:t>Լ որոշմամբ</w:t>
      </w:r>
      <w:r w:rsidR="00050108">
        <w:t>:</w:t>
      </w:r>
    </w:p>
  </w:footnote>
  <w:footnote w:id="7">
    <w:p w14:paraId="02529768" w14:textId="77777777" w:rsidR="008368B7" w:rsidRPr="005F119F" w:rsidRDefault="008368B7" w:rsidP="00856E20">
      <w:pPr>
        <w:pStyle w:val="FootnoteText"/>
      </w:pPr>
      <w:r>
        <w:rPr>
          <w:rStyle w:val="FootnoteReference"/>
        </w:rPr>
        <w:footnoteRef/>
      </w:r>
      <w:r>
        <w:t xml:space="preserve"> </w:t>
      </w:r>
      <w:r w:rsidRPr="002F13D1">
        <w:t>«Հաշվեքննիչ պալատի մասին» ՀՀ օրենքի 3</w:t>
      </w:r>
      <w:r w:rsidRPr="002F13D1">
        <w:noBreakHyphen/>
        <w:t>րդ հոդված։</w:t>
      </w:r>
    </w:p>
  </w:footnote>
  <w:footnote w:id="8">
    <w:p w14:paraId="24F97F73" w14:textId="77777777" w:rsidR="00856E20" w:rsidRPr="005F119F" w:rsidRDefault="00856E20" w:rsidP="00856E20">
      <w:pPr>
        <w:pStyle w:val="FootnoteText"/>
      </w:pPr>
      <w:r>
        <w:rPr>
          <w:rStyle w:val="FootnoteReference"/>
        </w:rPr>
        <w:footnoteRef/>
      </w:r>
      <w:r w:rsidRPr="005F119F">
        <w:t xml:space="preserve"> </w:t>
      </w:r>
      <w:r w:rsidRPr="00B06C98">
        <w:t>Սահմանադրության</w:t>
      </w:r>
      <w:r w:rsidRPr="002F13D1">
        <w:t xml:space="preserve"> 198</w:t>
      </w:r>
      <w:r w:rsidRPr="002F13D1">
        <w:noBreakHyphen/>
        <w:t>րդ հոդված («Հաշվեքննիչ պալատի մասին» ՀՀ օրենքի 4</w:t>
      </w:r>
      <w:r w:rsidRPr="002F13D1">
        <w:noBreakHyphen/>
        <w:t>րդ հոդվածի 1</w:t>
      </w:r>
      <w:r w:rsidRPr="002F13D1">
        <w:noBreakHyphen/>
        <w:t>ին մասի 25</w:t>
      </w:r>
      <w:r w:rsidRPr="002F13D1">
        <w:noBreakHyphen/>
        <w:t>26</w:t>
      </w:r>
      <w:r w:rsidRPr="002F13D1">
        <w:noBreakHyphen/>
        <w:t>րդ կետեր)։</w:t>
      </w:r>
    </w:p>
  </w:footnote>
  <w:footnote w:id="9">
    <w:p w14:paraId="60DCF89D" w14:textId="77777777" w:rsidR="0082642A" w:rsidRPr="005F119F" w:rsidRDefault="0082642A" w:rsidP="00856E20">
      <w:pPr>
        <w:pStyle w:val="FootnoteText"/>
      </w:pPr>
      <w:r w:rsidRPr="004021A2">
        <w:rPr>
          <w:rStyle w:val="FootnoteReference"/>
        </w:rPr>
        <w:footnoteRef/>
      </w:r>
      <w:r w:rsidRPr="005F119F">
        <w:t xml:space="preserve"> </w:t>
      </w:r>
      <w:r w:rsidRPr="0082642A">
        <w:t>«Հաշվեքննիչ պալատի մասին» ՀՀ օրենքի 58</w:t>
      </w:r>
      <w:r w:rsidRPr="0082642A">
        <w:noBreakHyphen/>
        <w:t>րդ հոդվածի 4</w:t>
      </w:r>
      <w:r w:rsidRPr="0082642A">
        <w:noBreakHyphen/>
        <w:t>րդ մաս։</w:t>
      </w:r>
    </w:p>
  </w:footnote>
  <w:footnote w:id="10">
    <w:p w14:paraId="44BCAB2D" w14:textId="77777777" w:rsidR="0033452E" w:rsidRPr="00207C4C" w:rsidRDefault="0033452E" w:rsidP="00856E20">
      <w:pPr>
        <w:pStyle w:val="FootnoteText"/>
      </w:pPr>
      <w:r>
        <w:rPr>
          <w:rStyle w:val="FootnoteReference"/>
        </w:rPr>
        <w:footnoteRef/>
      </w:r>
      <w:r>
        <w:t xml:space="preserve"> </w:t>
      </w:r>
      <w:r w:rsidRPr="0062760F">
        <w:rPr>
          <w:bCs/>
        </w:rPr>
        <w:t>«Հաշվեքննիչ պալատի մասին» ՀՀ օրենքի</w:t>
      </w:r>
      <w:r w:rsidRPr="0062760F">
        <w:t xml:space="preserve"> 24-րդ հոդվածի համաձայն պետական բյուջեի կատարման հաշվետվության գնահատում՝ կարծիք ներկայացնելու նպատակով։</w:t>
      </w:r>
    </w:p>
  </w:footnote>
  <w:footnote w:id="11">
    <w:p w14:paraId="14FFB1CB" w14:textId="77777777" w:rsidR="00BA3448" w:rsidRPr="006D0768" w:rsidRDefault="00BA3448" w:rsidP="00856E20">
      <w:pPr>
        <w:pStyle w:val="FootnoteText"/>
      </w:pPr>
      <w:r>
        <w:rPr>
          <w:rStyle w:val="FootnoteReference"/>
        </w:rPr>
        <w:footnoteRef/>
      </w:r>
      <w:r>
        <w:t xml:space="preserve"> </w:t>
      </w:r>
      <w:r w:rsidRPr="0062760F">
        <w:rPr>
          <w:bCs/>
        </w:rPr>
        <w:t>«Հաշվեքննիչ պալատի մասին» ՀՀ օրենքի</w:t>
      </w:r>
      <w:r w:rsidRPr="0062760F">
        <w:rPr>
          <w:b/>
          <w:bCs/>
        </w:rPr>
        <w:t xml:space="preserve"> </w:t>
      </w:r>
      <w:r w:rsidRPr="0062760F">
        <w:t>4 րդ հոդվածի 1 ին մասի 14 րդ կետի համաձայն՝ «...հաշվեքննության առարկայի՝ տնտեսող և (կամ) ռեսուրսային և (կամ) նպատակային արդյունավետ լինելու գնահատում»։</w:t>
      </w:r>
    </w:p>
  </w:footnote>
  <w:footnote w:id="12">
    <w:p w14:paraId="3054876C" w14:textId="77777777" w:rsidR="0033452E" w:rsidRPr="006D0768" w:rsidRDefault="0033452E" w:rsidP="00856E20">
      <w:pPr>
        <w:pStyle w:val="FootnoteText"/>
      </w:pPr>
      <w:r>
        <w:rPr>
          <w:rStyle w:val="FootnoteReference"/>
        </w:rPr>
        <w:footnoteRef/>
      </w:r>
      <w:r w:rsidRPr="006D0768">
        <w:t xml:space="preserve"> </w:t>
      </w:r>
      <w:r w:rsidRPr="0062760F">
        <w:rPr>
          <w:bCs/>
        </w:rPr>
        <w:t>«Հաշվեքննիչ պալատի մասին» ՀՀ օրենքի</w:t>
      </w:r>
      <w:r w:rsidRPr="0062760F">
        <w:rPr>
          <w:b/>
          <w:bCs/>
        </w:rPr>
        <w:t xml:space="preserve"> </w:t>
      </w:r>
      <w:r w:rsidRPr="0062760F">
        <w:t>4 րդ հոդվածի 1 ին մասի 13 րդ կետի համաձայն՝ «հաշվեքննության առարկայի՝ իրավական ակտերով և (կամ) ... այլ գործարքներով սահմանված չափանիշներին ու պահանջներին համապատասխանության գնահատում»։</w:t>
      </w:r>
    </w:p>
  </w:footnote>
  <w:footnote w:id="13">
    <w:p w14:paraId="102F5D1F" w14:textId="77777777" w:rsidR="00DC32E9" w:rsidRPr="005F119F" w:rsidRDefault="00DC32E9" w:rsidP="00856E20">
      <w:pPr>
        <w:pStyle w:val="FootnoteText"/>
      </w:pPr>
      <w:r>
        <w:rPr>
          <w:rStyle w:val="FootnoteReference"/>
        </w:rPr>
        <w:footnoteRef/>
      </w:r>
      <w:r w:rsidRPr="005F119F">
        <w:t xml:space="preserve"> </w:t>
      </w:r>
      <w:r>
        <w:t xml:space="preserve">Հաստատված են </w:t>
      </w:r>
      <w:r w:rsidRPr="005F119F">
        <w:t>Բարձրագույն հաշվեքննիչ մարմինների միջազգային կազմակերպության (INTOSAI) կողմից։</w:t>
      </w:r>
    </w:p>
  </w:footnote>
  <w:footnote w:id="14">
    <w:p w14:paraId="0414238A" w14:textId="77777777" w:rsidR="00DC32E9" w:rsidRPr="005F119F" w:rsidRDefault="00DC32E9" w:rsidP="00856E20">
      <w:pPr>
        <w:pStyle w:val="FootnoteText"/>
      </w:pPr>
      <w:r>
        <w:rPr>
          <w:rStyle w:val="FootnoteReference"/>
        </w:rPr>
        <w:footnoteRef/>
      </w:r>
      <w:r w:rsidRPr="005F119F">
        <w:t xml:space="preserve"> </w:t>
      </w:r>
      <w:r>
        <w:t>«Բյուջետային համակարգի մասին» ՀՀ օրենքի հոդված 1.2`</w:t>
      </w:r>
      <w:r w:rsidRPr="005F119F">
        <w:t xml:space="preserve"> Պետական բյուջեի ելքերի գերատեսչական կառուցվածքում նշված հանրային իշխանության մարմինները (</w:t>
      </w:r>
      <w:r>
        <w:t>սուբյեկտները</w:t>
      </w:r>
      <w:r w:rsidRPr="005F119F">
        <w:t>)։</w:t>
      </w:r>
    </w:p>
  </w:footnote>
  <w:footnote w:id="15">
    <w:p w14:paraId="13A41E3B" w14:textId="77777777" w:rsidR="00DC32E9" w:rsidRPr="005F119F" w:rsidRDefault="00DC32E9" w:rsidP="00856E20">
      <w:pPr>
        <w:pStyle w:val="FootnoteText"/>
      </w:pPr>
      <w:r>
        <w:rPr>
          <w:rStyle w:val="FootnoteReference"/>
        </w:rPr>
        <w:footnoteRef/>
      </w:r>
      <w:r w:rsidRPr="005F119F">
        <w:t xml:space="preserve"> «Հաշվեքննիչ պալատի մասին» ՀՀ օրենքի 24 րդ հոդվածի 1</w:t>
      </w:r>
      <w:r w:rsidRPr="005F119F">
        <w:noBreakHyphen/>
        <w:t>ին մաս։</w:t>
      </w:r>
    </w:p>
  </w:footnote>
  <w:footnote w:id="16">
    <w:p w14:paraId="1A2880A6" w14:textId="77777777" w:rsidR="00DC32E9" w:rsidRPr="005F119F" w:rsidRDefault="00DC32E9" w:rsidP="00856E20">
      <w:pPr>
        <w:pStyle w:val="FootnoteText"/>
      </w:pPr>
      <w:r>
        <w:rPr>
          <w:rStyle w:val="FootnoteReference"/>
        </w:rPr>
        <w:footnoteRef/>
      </w:r>
      <w:r w:rsidRPr="005F119F">
        <w:t xml:space="preserve"> «Հաշվեքննիչ պալատի մասին» ՀՀ օրենքի 25 րդ հոդվածի 1</w:t>
      </w:r>
      <w:r w:rsidRPr="005F119F">
        <w:noBreakHyphen/>
        <w:t>ին մաս։</w:t>
      </w:r>
    </w:p>
  </w:footnote>
  <w:footnote w:id="17">
    <w:p w14:paraId="1EDC1129" w14:textId="77777777" w:rsidR="00DC32E9" w:rsidRPr="00CB0F97" w:rsidRDefault="00DC32E9" w:rsidP="00856E20">
      <w:pPr>
        <w:pStyle w:val="FootnoteText"/>
      </w:pPr>
      <w:r>
        <w:rPr>
          <w:rStyle w:val="FootnoteReference"/>
        </w:rPr>
        <w:footnoteRef/>
      </w:r>
      <w:r w:rsidRPr="005F119F">
        <w:t xml:space="preserve"> «Հաշվեքննիչ պալատի մասին» ՀՀ օրենքի 25 րդ հոդվածի 1</w:t>
      </w:r>
      <w:r w:rsidRPr="005F119F">
        <w:noBreakHyphen/>
        <w:t xml:space="preserve">ին մասի համաձայն միջանկյալ հաշվետվությունները կազմվում են եռամսյակի ավարտից հետո </w:t>
      </w:r>
      <w:r>
        <w:t>4 ամսվա ընթացքում։</w:t>
      </w:r>
    </w:p>
  </w:footnote>
  <w:footnote w:id="18">
    <w:p w14:paraId="7B8B15DA" w14:textId="79ECFABC" w:rsidR="00DC32E9" w:rsidRPr="00443956" w:rsidRDefault="00DC32E9" w:rsidP="00856E20">
      <w:pPr>
        <w:pStyle w:val="FootnoteText"/>
      </w:pPr>
      <w:r>
        <w:rPr>
          <w:rStyle w:val="FootnoteReference"/>
        </w:rPr>
        <w:footnoteRef/>
      </w:r>
      <w:r w:rsidRPr="005F119F">
        <w:t xml:space="preserve"> «Հաշվեքննիչ պալատի մասին» ՀՀ օրենքի 4 րդ հոդվածի 1</w:t>
      </w:r>
      <w:r w:rsidRPr="005F119F">
        <w:noBreakHyphen/>
        <w:t>ին մասի 28</w:t>
      </w:r>
      <w:r w:rsidRPr="005F119F">
        <w:noBreakHyphen/>
        <w:t xml:space="preserve">րդ կետի համաձայն՝  </w:t>
      </w:r>
      <w:r>
        <w:t>«</w:t>
      </w:r>
      <w:r w:rsidRPr="005F119F">
        <w:t>պետական բյուջեի կատարման ... ֆինանսական հաշվեքննությունից բացի, Հաշվեքննիչ պալատի գործունեության ծրագրով նախատեսված հաշվեքննությունների այլ ծրագրային կետեր</w:t>
      </w:r>
      <w:r>
        <w:t>»</w:t>
      </w:r>
      <w:r w:rsidR="009A1671" w:rsidRPr="00443956">
        <w:t>:</w:t>
      </w:r>
    </w:p>
  </w:footnote>
  <w:footnote w:id="19">
    <w:p w14:paraId="21D242BC" w14:textId="77777777" w:rsidR="00DC32E9" w:rsidRPr="005F119F" w:rsidRDefault="00DC32E9" w:rsidP="00856E20">
      <w:pPr>
        <w:pStyle w:val="FootnoteText"/>
      </w:pPr>
      <w:r>
        <w:rPr>
          <w:rStyle w:val="FootnoteReference"/>
        </w:rPr>
        <w:footnoteRef/>
      </w:r>
      <w:r w:rsidRPr="005F119F">
        <w:t xml:space="preserve"> </w:t>
      </w:r>
      <w:r>
        <w:t xml:space="preserve">Հաստատված է Հաշվեքննիչ պալատի </w:t>
      </w:r>
      <w:r w:rsidRPr="00AB790F">
        <w:t>2018 թվականի նոյեմբերի 22-ի թիվ 16/4 որոշմամբ</w:t>
      </w:r>
      <w:r>
        <w:t>։</w:t>
      </w:r>
    </w:p>
  </w:footnote>
  <w:footnote w:id="20">
    <w:p w14:paraId="1A56E790" w14:textId="77777777" w:rsidR="00DC32E9" w:rsidRPr="005F119F" w:rsidRDefault="00DC32E9" w:rsidP="00856E20">
      <w:pPr>
        <w:pStyle w:val="FootnoteText"/>
      </w:pPr>
      <w:r>
        <w:rPr>
          <w:rStyle w:val="FootnoteReference"/>
        </w:rPr>
        <w:footnoteRef/>
      </w:r>
      <w:r w:rsidRPr="005F119F">
        <w:t xml:space="preserve"> </w:t>
      </w:r>
      <w:r>
        <w:t>Հաստատված է Հաշվեքննիչ պալատի 2024 թվականի սեպտեմբերի 9</w:t>
      </w:r>
      <w:r>
        <w:noBreakHyphen/>
        <w:t>ի թիվ 91</w:t>
      </w:r>
      <w:r>
        <w:noBreakHyphen/>
        <w:t>Լ որոշմամբ։</w:t>
      </w:r>
    </w:p>
  </w:footnote>
  <w:footnote w:id="21">
    <w:p w14:paraId="12FE3ACF" w14:textId="0D86E092" w:rsidR="00DC32E9" w:rsidRPr="00443956" w:rsidRDefault="00DC32E9" w:rsidP="00856E20">
      <w:pPr>
        <w:pStyle w:val="FootnoteText"/>
      </w:pPr>
      <w:r>
        <w:rPr>
          <w:rStyle w:val="FootnoteReference"/>
        </w:rPr>
        <w:footnoteRef/>
      </w:r>
      <w:r w:rsidRPr="005F119F">
        <w:t xml:space="preserve"> Առաջնահերթություն 1, Ուղղություն 1.16՝ Բժշկական կադրային ներուժի տարածքային անհամաչափ բաշխվածություն՝ մարզերում կադրային թերհագեցվածություն</w:t>
      </w:r>
      <w:r w:rsidR="009A1671" w:rsidRPr="00443956">
        <w:t>:</w:t>
      </w:r>
    </w:p>
  </w:footnote>
  <w:footnote w:id="22">
    <w:p w14:paraId="3E22D338" w14:textId="77777777" w:rsidR="00DC32E9" w:rsidRPr="005F119F" w:rsidRDefault="00DC32E9" w:rsidP="00856E20">
      <w:pPr>
        <w:pStyle w:val="FootnoteText"/>
      </w:pPr>
      <w:r w:rsidRPr="004E787B">
        <w:rPr>
          <w:rStyle w:val="FootnoteReference"/>
          <w:sz w:val="16"/>
          <w:szCs w:val="16"/>
        </w:rPr>
        <w:footnoteRef/>
      </w:r>
      <w:r w:rsidRPr="004E787B">
        <w:rPr>
          <w:sz w:val="16"/>
          <w:szCs w:val="16"/>
        </w:rPr>
        <w:t xml:space="preserve"> </w:t>
      </w:r>
      <w:r w:rsidRPr="005F119F">
        <w:t>Health at a Glance 2023, OECD, 2023, p. 176.</w:t>
      </w:r>
    </w:p>
  </w:footnote>
  <w:footnote w:id="23">
    <w:p w14:paraId="590DD1C6" w14:textId="77777777" w:rsidR="00DC32E9" w:rsidRPr="004E787B" w:rsidRDefault="00DC32E9" w:rsidP="00856E20">
      <w:pPr>
        <w:pStyle w:val="FootnoteText"/>
        <w:rPr>
          <w:sz w:val="16"/>
          <w:szCs w:val="16"/>
        </w:rPr>
      </w:pPr>
      <w:r w:rsidRPr="004E787B">
        <w:rPr>
          <w:rStyle w:val="FootnoteReference"/>
          <w:sz w:val="16"/>
          <w:szCs w:val="16"/>
        </w:rPr>
        <w:footnoteRef/>
      </w:r>
      <w:r w:rsidRPr="004E787B">
        <w:rPr>
          <w:sz w:val="16"/>
          <w:szCs w:val="16"/>
        </w:rPr>
        <w:t xml:space="preserve"> </w:t>
      </w:r>
      <w:r>
        <w:t>2025</w:t>
      </w:r>
      <w:r w:rsidRPr="005F119F">
        <w:t xml:space="preserve">թ. </w:t>
      </w:r>
      <w:r>
        <w:t>պտեմբերի</w:t>
      </w:r>
      <w:r w:rsidRPr="005F119F">
        <w:t xml:space="preserve"> դրությամբ, https://www.moh.am/#1/119։</w:t>
      </w:r>
      <w:r w:rsidRPr="004E787B">
        <w:rPr>
          <w:sz w:val="16"/>
          <w:szCs w:val="16"/>
        </w:rPr>
        <w:t xml:space="preserve"> </w:t>
      </w:r>
    </w:p>
  </w:footnote>
  <w:footnote w:id="24">
    <w:p w14:paraId="02358F3F" w14:textId="77777777" w:rsidR="00DC32E9" w:rsidRPr="005F119F" w:rsidRDefault="00DC32E9" w:rsidP="00856E20">
      <w:pPr>
        <w:pStyle w:val="FootnoteText"/>
      </w:pPr>
      <w:r w:rsidRPr="004E787B">
        <w:rPr>
          <w:rStyle w:val="FootnoteReference"/>
          <w:sz w:val="16"/>
          <w:szCs w:val="16"/>
        </w:rPr>
        <w:footnoteRef/>
      </w:r>
      <w:r w:rsidRPr="004E787B">
        <w:rPr>
          <w:sz w:val="16"/>
          <w:szCs w:val="16"/>
        </w:rPr>
        <w:t xml:space="preserve"> </w:t>
      </w:r>
      <w:r w:rsidRPr="005F119F">
        <w:t>Վերջին 5 տարիներին</w:t>
      </w:r>
      <w:r>
        <w:t xml:space="preserve"> (2020-2024</w:t>
      </w:r>
      <w:r w:rsidRPr="005F119F">
        <w:t>թթ.) ԵՊԲՀ-ն ավարտող բժիշկ շրջանավարտների միջին տարեկան թիվը 6</w:t>
      </w:r>
      <w:r>
        <w:t>30</w:t>
      </w:r>
      <w:r w:rsidRPr="005F119F">
        <w:t xml:space="preserve"> է (Աղբյուր՝ «Առող</w:t>
      </w:r>
      <w:r w:rsidRPr="005F119F">
        <w:softHyphen/>
        <w:t>ջու</w:t>
      </w:r>
      <w:r w:rsidRPr="005F119F">
        <w:softHyphen/>
        <w:t>թ</w:t>
      </w:r>
      <w:r w:rsidRPr="005F119F">
        <w:softHyphen/>
        <w:t>յուն և առողջապահություն» վիճակագրական տարեգիրք 202</w:t>
      </w:r>
      <w:r>
        <w:t>5</w:t>
      </w:r>
      <w:r w:rsidRPr="005F119F">
        <w:t>)։</w:t>
      </w:r>
    </w:p>
  </w:footnote>
  <w:footnote w:id="25">
    <w:p w14:paraId="5BC51018" w14:textId="77777777" w:rsidR="00DC32E9" w:rsidRPr="00F3595F" w:rsidRDefault="00DC32E9" w:rsidP="00856E20">
      <w:pPr>
        <w:pStyle w:val="FootnoteText"/>
      </w:pPr>
      <w:r>
        <w:rPr>
          <w:rStyle w:val="FootnoteReference"/>
        </w:rPr>
        <w:footnoteRef/>
      </w:r>
      <w:r>
        <w:t xml:space="preserve"> </w:t>
      </w:r>
      <w:r w:rsidRPr="00F3595F">
        <w:t>Առաջնահերթություն 5, Ուղղություն 5.8՝ Գյուղատնտեսական նշանակության չօգտագործվող հողերի շրջանառության մեջ դնելը և հողերի կոնսոլիդացումը</w:t>
      </w:r>
      <w:r>
        <w:t>։</w:t>
      </w:r>
    </w:p>
  </w:footnote>
  <w:footnote w:id="26">
    <w:p w14:paraId="32074901" w14:textId="77777777" w:rsidR="00DC32E9" w:rsidRPr="005F119F" w:rsidRDefault="00DC32E9" w:rsidP="00856E20">
      <w:pPr>
        <w:pStyle w:val="FootnoteText"/>
      </w:pPr>
      <w:r w:rsidRPr="00B80C87">
        <w:rPr>
          <w:rStyle w:val="FootnoteReference"/>
          <w:sz w:val="16"/>
          <w:szCs w:val="16"/>
        </w:rPr>
        <w:footnoteRef/>
      </w:r>
      <w:r w:rsidRPr="00B80C87">
        <w:rPr>
          <w:sz w:val="16"/>
          <w:szCs w:val="16"/>
        </w:rPr>
        <w:t xml:space="preserve"> </w:t>
      </w:r>
      <w:r w:rsidRPr="005F119F">
        <w:t>ՀՀ 2014թ. գյուղա</w:t>
      </w:r>
      <w:r w:rsidRPr="005F119F">
        <w:softHyphen/>
        <w:t>տնտե</w:t>
      </w:r>
      <w:r w:rsidRPr="005F119F">
        <w:softHyphen/>
        <w:t>սա</w:t>
      </w:r>
      <w:r w:rsidRPr="005F119F">
        <w:softHyphen/>
        <w:t>կան համատարած հաշվառման հիմ</w:t>
      </w:r>
      <w:r w:rsidRPr="005F119F">
        <w:softHyphen/>
        <w:t>նա</w:t>
      </w:r>
      <w:r w:rsidRPr="005F119F">
        <w:softHyphen/>
        <w:t>կան արդյունքները, ՎԿ:</w:t>
      </w:r>
    </w:p>
  </w:footnote>
  <w:footnote w:id="27">
    <w:p w14:paraId="5C888580" w14:textId="77777777" w:rsidR="00DC32E9" w:rsidRPr="00B80C87" w:rsidRDefault="00DC32E9" w:rsidP="00856E20">
      <w:pPr>
        <w:pStyle w:val="FootnoteText"/>
        <w:rPr>
          <w:sz w:val="16"/>
          <w:szCs w:val="16"/>
        </w:rPr>
      </w:pPr>
      <w:r w:rsidRPr="00B80C87">
        <w:rPr>
          <w:rStyle w:val="FootnoteReference"/>
          <w:sz w:val="16"/>
          <w:szCs w:val="16"/>
        </w:rPr>
        <w:footnoteRef/>
      </w:r>
      <w:r w:rsidRPr="00B80C87">
        <w:rPr>
          <w:sz w:val="16"/>
          <w:szCs w:val="16"/>
        </w:rPr>
        <w:t xml:space="preserve"> </w:t>
      </w:r>
      <w:r w:rsidRPr="005F119F">
        <w:t>Գյուղատնտեսական արտադրանքի իրացումը (օգտագործումը) անհատական (գյուղացիական) տնային տնտեսությունների կողմից 2023 թվականին, ՎԿ։</w:t>
      </w:r>
    </w:p>
  </w:footnote>
  <w:footnote w:id="28">
    <w:p w14:paraId="7C766D0B" w14:textId="77777777" w:rsidR="00DC32E9" w:rsidRPr="00FF437E" w:rsidRDefault="00DC32E9" w:rsidP="00856E20">
      <w:pPr>
        <w:pStyle w:val="FootnoteText"/>
      </w:pPr>
      <w:r>
        <w:rPr>
          <w:rStyle w:val="FootnoteReference"/>
        </w:rPr>
        <w:footnoteRef/>
      </w:r>
      <w:r>
        <w:t xml:space="preserve"> </w:t>
      </w:r>
      <w:r w:rsidRPr="00FF437E">
        <w:t>Հաշվեքննության 2025-2027թթ Առաջնահերթություն 5, Ուղղություն 5.7՝ տնտեսական դիվանագիտություն</w:t>
      </w:r>
      <w:r>
        <w:t>։</w:t>
      </w:r>
    </w:p>
  </w:footnote>
  <w:footnote w:id="29">
    <w:p w14:paraId="66422E43" w14:textId="77777777" w:rsidR="00DC32E9" w:rsidRPr="00DF54F4" w:rsidRDefault="00DC32E9" w:rsidP="00856E20">
      <w:pPr>
        <w:pStyle w:val="FootnoteText"/>
      </w:pPr>
      <w:r>
        <w:rPr>
          <w:rStyle w:val="FootnoteReference"/>
        </w:rPr>
        <w:footnoteRef/>
      </w:r>
      <w:r>
        <w:t xml:space="preserve"> </w:t>
      </w:r>
      <w:r w:rsidRPr="00DF54F4">
        <w:t>Հաշվեքննության 2025-2027թթ Առաջնահերթություն 6, Ուղղություն 6.6՝ Սուբսիդիաների տրամադրման համակարգ:</w:t>
      </w:r>
    </w:p>
  </w:footnote>
  <w:footnote w:id="30">
    <w:p w14:paraId="13F5B681" w14:textId="21E4A86C" w:rsidR="00DC32E9" w:rsidRPr="00443956" w:rsidRDefault="00DC32E9" w:rsidP="00856E20">
      <w:pPr>
        <w:pStyle w:val="FootnoteText"/>
      </w:pPr>
      <w:r>
        <w:rPr>
          <w:rStyle w:val="FootnoteReference"/>
        </w:rPr>
        <w:footnoteRef/>
      </w:r>
      <w:r>
        <w:t xml:space="preserve"> </w:t>
      </w:r>
      <w:r w:rsidRPr="00492314">
        <w:t>Հաշվեքննության 2025-2027թթ Առաջնահերթություն 6, Ուղղություն 6.10,6.11</w:t>
      </w:r>
      <w:r w:rsidR="009A1671" w:rsidRPr="00443956">
        <w:t>:</w:t>
      </w:r>
    </w:p>
  </w:footnote>
  <w:footnote w:id="31">
    <w:p w14:paraId="5467377F" w14:textId="54D6A34D" w:rsidR="00DC32E9" w:rsidRPr="00443956" w:rsidRDefault="00DC32E9" w:rsidP="00856E20">
      <w:pPr>
        <w:pStyle w:val="FootnoteText"/>
      </w:pPr>
      <w:r>
        <w:rPr>
          <w:rStyle w:val="FootnoteReference"/>
        </w:rPr>
        <w:footnoteRef/>
      </w:r>
      <w:r>
        <w:t xml:space="preserve"> </w:t>
      </w:r>
      <w:r w:rsidRPr="006D221B">
        <w:t>Առաջնահերթություն 6</w:t>
      </w:r>
      <w:r w:rsidR="009A1671" w:rsidRPr="00443956">
        <w:t>:</w:t>
      </w:r>
    </w:p>
  </w:footnote>
  <w:footnote w:id="32">
    <w:p w14:paraId="16C8EBAA" w14:textId="439702A9" w:rsidR="00DC32E9" w:rsidRPr="005F119F" w:rsidRDefault="00DC32E9" w:rsidP="00856E20">
      <w:pPr>
        <w:pStyle w:val="FootnoteText"/>
      </w:pPr>
      <w:r>
        <w:rPr>
          <w:rStyle w:val="FootnoteReference"/>
        </w:rPr>
        <w:footnoteRef/>
      </w:r>
      <w:r>
        <w:t xml:space="preserve"> </w:t>
      </w:r>
      <w:r w:rsidRPr="004640A5">
        <w:t xml:space="preserve">Լրացումը կատարվել է Հաշվեքննիչ պալատի 2025 թվականի նոյեմբերի 27-ի թիվ </w:t>
      </w:r>
      <w:r w:rsidR="00834654" w:rsidRPr="00443956">
        <w:t>80-Լ</w:t>
      </w:r>
      <w:r w:rsidRPr="004640A5">
        <w:t xml:space="preserve"> որոշմամբ։</w:t>
      </w:r>
    </w:p>
  </w:footnote>
  <w:footnote w:id="33">
    <w:p w14:paraId="543EEBD1" w14:textId="771FA874" w:rsidR="00052A08" w:rsidRPr="00052A08" w:rsidRDefault="00052A08" w:rsidP="00052A08">
      <w:pPr>
        <w:pStyle w:val="ListParagraph"/>
        <w:numPr>
          <w:ilvl w:val="0"/>
          <w:numId w:val="0"/>
        </w:numPr>
        <w:tabs>
          <w:tab w:val="left" w:pos="993"/>
        </w:tabs>
        <w:spacing w:after="80" w:line="276" w:lineRule="auto"/>
        <w:rPr>
          <w:rFonts w:cs="Sylfaen"/>
          <w:b/>
          <w:i/>
          <w:lang w:val="hy-AM"/>
        </w:rPr>
      </w:pPr>
      <w:r>
        <w:rPr>
          <w:rStyle w:val="FootnoteReference"/>
        </w:rPr>
        <w:footnoteRef/>
      </w:r>
      <w:r w:rsidRPr="00052A08">
        <w:rPr>
          <w:rFonts w:cs="Sylfaen"/>
          <w:bCs/>
          <w:i/>
          <w:sz w:val="20"/>
          <w:szCs w:val="20"/>
          <w:lang w:val="hy-AM"/>
        </w:rPr>
        <w:t>Առաջնահերթություն 6, Ուղղություն 6.17:</w:t>
      </w:r>
    </w:p>
  </w:footnote>
  <w:footnote w:id="34">
    <w:p w14:paraId="6E9C699E" w14:textId="5856D7E5" w:rsidR="00052A08" w:rsidRPr="00052A08" w:rsidRDefault="00052A08" w:rsidP="00052A08">
      <w:pPr>
        <w:spacing w:after="0" w:line="240" w:lineRule="auto"/>
        <w:ind w:firstLine="0"/>
        <w:rPr>
          <w:rFonts w:cs="Sylfaen"/>
          <w:b/>
          <w:i/>
        </w:rPr>
      </w:pPr>
      <w:r w:rsidRPr="00052A08">
        <w:rPr>
          <w:rStyle w:val="FootnoteReference"/>
          <w:sz w:val="16"/>
          <w:szCs w:val="16"/>
        </w:rPr>
        <w:footnoteRef/>
      </w:r>
      <w:r w:rsidRPr="00052A08">
        <w:rPr>
          <w:sz w:val="16"/>
          <w:szCs w:val="16"/>
        </w:rPr>
        <w:t xml:space="preserve">   </w:t>
      </w:r>
      <w:r w:rsidRPr="00052A08">
        <w:rPr>
          <w:i/>
          <w:iCs/>
          <w:sz w:val="20"/>
          <w:szCs w:val="20"/>
        </w:rPr>
        <w:t>Առաջնահերթություն 1, Ուղղություն 1.9:</w:t>
      </w:r>
    </w:p>
  </w:footnote>
  <w:footnote w:id="35">
    <w:p w14:paraId="39B77DCD" w14:textId="77777777" w:rsidR="00052A08" w:rsidRPr="00052A08" w:rsidRDefault="00052A08" w:rsidP="00052A08">
      <w:pPr>
        <w:spacing w:after="0" w:line="240" w:lineRule="auto"/>
        <w:ind w:firstLine="0"/>
        <w:rPr>
          <w:i/>
          <w:iCs/>
          <w:sz w:val="14"/>
          <w:szCs w:val="22"/>
        </w:rPr>
      </w:pPr>
      <w:r w:rsidRPr="00052A08">
        <w:rPr>
          <w:rStyle w:val="FootnoteReference"/>
          <w:sz w:val="18"/>
          <w:szCs w:val="18"/>
        </w:rPr>
        <w:footnoteRef/>
      </w:r>
      <w:r>
        <w:t xml:space="preserve"> </w:t>
      </w:r>
      <w:r w:rsidRPr="00052A08">
        <w:rPr>
          <w:i/>
          <w:iCs/>
          <w:sz w:val="20"/>
          <w:szCs w:val="28"/>
        </w:rPr>
        <w:t>Հայաստանի Հանրապետության դեղերի պետական</w:t>
      </w:r>
      <w:r w:rsidRPr="00052A08">
        <w:rPr>
          <w:rFonts w:ascii="Calibri" w:hAnsi="Calibri" w:cs="Calibri"/>
          <w:i/>
          <w:iCs/>
          <w:sz w:val="20"/>
          <w:szCs w:val="28"/>
        </w:rPr>
        <w:t> </w:t>
      </w:r>
      <w:r w:rsidRPr="00052A08">
        <w:rPr>
          <w:i/>
          <w:iCs/>
          <w:sz w:val="20"/>
          <w:szCs w:val="28"/>
        </w:rPr>
        <w:t>գրանցամատյանում</w:t>
      </w:r>
      <w:r w:rsidRPr="00052A08">
        <w:rPr>
          <w:rFonts w:ascii="Calibri" w:hAnsi="Calibri" w:cs="Calibri"/>
          <w:i/>
          <w:iCs/>
          <w:sz w:val="20"/>
          <w:szCs w:val="28"/>
        </w:rPr>
        <w:t> </w:t>
      </w:r>
      <w:r w:rsidRPr="00052A08">
        <w:rPr>
          <w:i/>
          <w:iCs/>
          <w:sz w:val="20"/>
          <w:szCs w:val="28"/>
        </w:rPr>
        <w:t>3236 անուն դեղ կա, Վրաստանում՝ գրանցված դեղերի թիվը շուրջ  8 հազ. է, Ռուսաստանի Դաշնությունում նախորդ տարեվերջին գրանցված դեղերի թիվը 18.5 հազ. է։</w:t>
      </w:r>
    </w:p>
  </w:footnote>
  <w:footnote w:id="36">
    <w:p w14:paraId="35059B25" w14:textId="77777777" w:rsidR="00DC32E9" w:rsidRPr="005F119F" w:rsidRDefault="00DC32E9" w:rsidP="00856E20">
      <w:pPr>
        <w:pStyle w:val="FootnoteText"/>
      </w:pPr>
      <w:r>
        <w:rPr>
          <w:rStyle w:val="FootnoteReference"/>
        </w:rPr>
        <w:footnoteRef/>
      </w:r>
      <w:r w:rsidRPr="005F119F">
        <w:t xml:space="preserve"> </w:t>
      </w:r>
      <w:r w:rsidRPr="004640A5">
        <w:t>Առաջնահերթություն 7, Ուղղություն 7.4՝ Երևան քաղաքի կառավարման համակարգ և զարգացման ծրագրերի կատարում։</w:t>
      </w:r>
    </w:p>
  </w:footnote>
  <w:footnote w:id="37">
    <w:p w14:paraId="331DB1BC" w14:textId="77777777" w:rsidR="00DC32E9" w:rsidRPr="005F119F" w:rsidRDefault="00DC32E9" w:rsidP="00856E20">
      <w:pPr>
        <w:pStyle w:val="FootnoteText"/>
      </w:pPr>
      <w:r>
        <w:rPr>
          <w:rStyle w:val="FootnoteReference"/>
        </w:rPr>
        <w:footnoteRef/>
      </w:r>
      <w:r w:rsidRPr="005F119F">
        <w:t xml:space="preserve"> </w:t>
      </w:r>
      <w:r w:rsidRPr="004640A5">
        <w:t>Առաջնահերթություն 7՝ Ներդաշնակ զարգացող համայնքներ։</w:t>
      </w:r>
    </w:p>
  </w:footnote>
  <w:footnote w:id="38">
    <w:p w14:paraId="1538443A" w14:textId="77777777" w:rsidR="00DC32E9" w:rsidRPr="005F119F" w:rsidRDefault="00DC32E9" w:rsidP="00856E20">
      <w:pPr>
        <w:pStyle w:val="FootnoteText"/>
      </w:pPr>
      <w:r>
        <w:rPr>
          <w:rStyle w:val="FootnoteReference"/>
        </w:rPr>
        <w:footnoteRef/>
      </w:r>
      <w:r w:rsidRPr="005F119F">
        <w:t xml:space="preserve"> </w:t>
      </w:r>
      <w:r w:rsidRPr="004640A5">
        <w:t>Հաշվեքննիչ պալատի 2018 թվականի նոյեմբերի 22-ի թիվ 16/4 որոշմամբ հաստատված գործունեության ծրագիրը կազմելու ռիսկերի մեթոդաբանության 15-րդ կետ:</w:t>
      </w:r>
    </w:p>
  </w:footnote>
  <w:footnote w:id="39">
    <w:p w14:paraId="2A9E3120" w14:textId="176C53C4" w:rsidR="00DC32E9" w:rsidRPr="00D06B40" w:rsidRDefault="00DC32E9" w:rsidP="00752793">
      <w:pPr>
        <w:ind w:firstLine="142"/>
      </w:pPr>
      <w:r w:rsidRPr="00D06B40">
        <w:rPr>
          <w:rStyle w:val="FootnoteReference"/>
        </w:rPr>
        <w:footnoteRef/>
      </w:r>
      <w:r w:rsidRPr="00D06B40">
        <w:t xml:space="preserve"> </w:t>
      </w:r>
      <w:r w:rsidRPr="00752793">
        <w:rPr>
          <w:i/>
          <w:sz w:val="22"/>
        </w:rPr>
        <w:t>Առաջնահերթություն 2, Ուղղություն</w:t>
      </w:r>
      <w:r w:rsidR="00D06B40" w:rsidRPr="00752793">
        <w:rPr>
          <w:i/>
          <w:sz w:val="22"/>
        </w:rPr>
        <w:t xml:space="preserve"> 2.5</w:t>
      </w:r>
      <w:r w:rsidRPr="00752793">
        <w:rPr>
          <w:i/>
          <w:sz w:val="22"/>
        </w:rPr>
        <w:t>:</w:t>
      </w:r>
    </w:p>
  </w:footnote>
  <w:footnote w:id="40">
    <w:p w14:paraId="11CF5A1E" w14:textId="065DAC9F" w:rsidR="00DC32E9" w:rsidRPr="002F0E22" w:rsidRDefault="00DC32E9" w:rsidP="00752793">
      <w:pPr>
        <w:ind w:firstLine="142"/>
      </w:pPr>
      <w:r w:rsidRPr="00D06B40">
        <w:rPr>
          <w:rStyle w:val="FootnoteReference"/>
        </w:rPr>
        <w:footnoteRef/>
      </w:r>
      <w:r w:rsidRPr="00D06B40">
        <w:t xml:space="preserve"> </w:t>
      </w:r>
      <w:r w:rsidRPr="00752793">
        <w:rPr>
          <w:i/>
          <w:sz w:val="22"/>
        </w:rPr>
        <w:t>Առաջնահերթություն 3, Ուղղություն 3.10</w:t>
      </w:r>
      <w:r w:rsidR="00D06B40" w:rsidRPr="00752793">
        <w:rPr>
          <w:i/>
          <w:sz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C7410" w14:textId="77777777" w:rsidR="00882DDB" w:rsidRDefault="00882DDB" w:rsidP="00856E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9AC0D" w14:textId="77777777" w:rsidR="00882DDB" w:rsidRDefault="00882DDB" w:rsidP="00856E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B2551"/>
    <w:multiLevelType w:val="hybridMultilevel"/>
    <w:tmpl w:val="08E0BA4A"/>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64576FD"/>
    <w:multiLevelType w:val="hybridMultilevel"/>
    <w:tmpl w:val="3CB44B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4049EC"/>
    <w:multiLevelType w:val="hybridMultilevel"/>
    <w:tmpl w:val="32CABC74"/>
    <w:lvl w:ilvl="0" w:tplc="5DD04D52">
      <w:start w:val="1"/>
      <w:numFmt w:val="decimal"/>
      <w:pStyle w:val="ListParagraph"/>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1C257E0C"/>
    <w:multiLevelType w:val="hybridMultilevel"/>
    <w:tmpl w:val="6BB20E48"/>
    <w:lvl w:ilvl="0" w:tplc="574A303A">
      <w:start w:val="1"/>
      <w:numFmt w:val="decimal"/>
      <w:lvlText w:val="%1)"/>
      <w:lvlJc w:val="left"/>
      <w:pPr>
        <w:ind w:left="1440" w:hanging="360"/>
      </w:pPr>
      <w:rPr>
        <w:rFonts w:eastAsia="Times New Roman" w:cs="Times New Roman" w:hint="default"/>
        <w:color w:val="000000" w:themeColor="text1"/>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3BF674F"/>
    <w:multiLevelType w:val="multilevel"/>
    <w:tmpl w:val="36DAB9BC"/>
    <w:lvl w:ilvl="0">
      <w:start w:val="2"/>
      <w:numFmt w:val="decimal"/>
      <w:lvlText w:val="%1."/>
      <w:lvlJc w:val="left"/>
      <w:pPr>
        <w:ind w:left="754"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3B8067DB"/>
    <w:multiLevelType w:val="hybridMultilevel"/>
    <w:tmpl w:val="258E18A8"/>
    <w:lvl w:ilvl="0" w:tplc="04090011">
      <w:start w:val="1"/>
      <w:numFmt w:val="decimal"/>
      <w:lvlText w:val="%1)"/>
      <w:lvlJc w:val="left"/>
      <w:pPr>
        <w:ind w:left="1080" w:hanging="360"/>
      </w:pPr>
    </w:lvl>
    <w:lvl w:ilvl="1" w:tplc="FFFFFFFF">
      <w:start w:val="1"/>
      <w:numFmt w:val="lowerLetter"/>
      <w:lvlText w:val="%2."/>
      <w:lvlJc w:val="left"/>
      <w:pPr>
        <w:ind w:left="1800" w:hanging="360"/>
      </w:pPr>
      <w:rPr>
        <w:rFonts w:cs="Times New Roman"/>
      </w:rPr>
    </w:lvl>
    <w:lvl w:ilvl="2" w:tplc="FFFFFFFF">
      <w:start w:val="1"/>
      <w:numFmt w:val="lowerRoman"/>
      <w:lvlText w:val="%3."/>
      <w:lvlJc w:val="right"/>
      <w:pPr>
        <w:ind w:left="2520" w:hanging="180"/>
      </w:pPr>
      <w:rPr>
        <w:rFonts w:cs="Times New Roman"/>
      </w:rPr>
    </w:lvl>
    <w:lvl w:ilvl="3" w:tplc="FFFFFFFF">
      <w:start w:val="1"/>
      <w:numFmt w:val="decimal"/>
      <w:lvlText w:val="%4."/>
      <w:lvlJc w:val="left"/>
      <w:pPr>
        <w:ind w:left="3240" w:hanging="360"/>
      </w:pPr>
      <w:rPr>
        <w:rFonts w:cs="Times New Roman"/>
      </w:rPr>
    </w:lvl>
    <w:lvl w:ilvl="4" w:tplc="FFFFFFFF">
      <w:start w:val="1"/>
      <w:numFmt w:val="lowerLetter"/>
      <w:lvlText w:val="%5."/>
      <w:lvlJc w:val="left"/>
      <w:pPr>
        <w:ind w:left="3960" w:hanging="360"/>
      </w:pPr>
      <w:rPr>
        <w:rFonts w:cs="Times New Roman"/>
      </w:rPr>
    </w:lvl>
    <w:lvl w:ilvl="5" w:tplc="FFFFFFFF">
      <w:start w:val="1"/>
      <w:numFmt w:val="lowerRoman"/>
      <w:lvlText w:val="%6."/>
      <w:lvlJc w:val="right"/>
      <w:pPr>
        <w:ind w:left="4680" w:hanging="180"/>
      </w:pPr>
      <w:rPr>
        <w:rFonts w:cs="Times New Roman"/>
      </w:rPr>
    </w:lvl>
    <w:lvl w:ilvl="6" w:tplc="FFFFFFFF">
      <w:start w:val="1"/>
      <w:numFmt w:val="decimal"/>
      <w:lvlText w:val="%7."/>
      <w:lvlJc w:val="left"/>
      <w:pPr>
        <w:ind w:left="5400" w:hanging="360"/>
      </w:pPr>
      <w:rPr>
        <w:rFonts w:cs="Times New Roman"/>
      </w:rPr>
    </w:lvl>
    <w:lvl w:ilvl="7" w:tplc="FFFFFFFF">
      <w:start w:val="1"/>
      <w:numFmt w:val="lowerLetter"/>
      <w:lvlText w:val="%8."/>
      <w:lvlJc w:val="left"/>
      <w:pPr>
        <w:ind w:left="6120" w:hanging="360"/>
      </w:pPr>
      <w:rPr>
        <w:rFonts w:cs="Times New Roman"/>
      </w:rPr>
    </w:lvl>
    <w:lvl w:ilvl="8" w:tplc="FFFFFFFF">
      <w:start w:val="1"/>
      <w:numFmt w:val="lowerRoman"/>
      <w:lvlText w:val="%9."/>
      <w:lvlJc w:val="right"/>
      <w:pPr>
        <w:ind w:left="6840" w:hanging="180"/>
      </w:pPr>
      <w:rPr>
        <w:rFonts w:cs="Times New Roman"/>
      </w:rPr>
    </w:lvl>
  </w:abstractNum>
  <w:abstractNum w:abstractNumId="6" w15:restartNumberingAfterBreak="0">
    <w:nsid w:val="491D10D9"/>
    <w:multiLevelType w:val="hybridMultilevel"/>
    <w:tmpl w:val="FFFFFFFF"/>
    <w:lvl w:ilvl="0" w:tplc="BE928A80">
      <w:start w:val="1"/>
      <w:numFmt w:val="decimal"/>
      <w:lvlText w:val="%1."/>
      <w:lvlJc w:val="left"/>
      <w:pPr>
        <w:ind w:left="1080" w:hanging="360"/>
      </w:pPr>
      <w:rPr>
        <w:rFonts w:cs="Cambria Math"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15:restartNumberingAfterBreak="0">
    <w:nsid w:val="497006DA"/>
    <w:multiLevelType w:val="hybridMultilevel"/>
    <w:tmpl w:val="FBDA8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C9053E"/>
    <w:multiLevelType w:val="hybridMultilevel"/>
    <w:tmpl w:val="FFFFFFFF"/>
    <w:lvl w:ilvl="0" w:tplc="FFFFFFFF">
      <w:start w:val="1"/>
      <w:numFmt w:val="decimal"/>
      <w:lvlText w:val="%1."/>
      <w:lvlJc w:val="left"/>
      <w:pPr>
        <w:ind w:left="1080" w:hanging="360"/>
      </w:pPr>
      <w:rPr>
        <w:rFonts w:cs="Cambria Math"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9" w15:restartNumberingAfterBreak="0">
    <w:nsid w:val="50725CE9"/>
    <w:multiLevelType w:val="hybridMultilevel"/>
    <w:tmpl w:val="1F36B2CC"/>
    <w:lvl w:ilvl="0" w:tplc="BBDA293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619350A"/>
    <w:multiLevelType w:val="hybridMultilevel"/>
    <w:tmpl w:val="DA92B8CC"/>
    <w:lvl w:ilvl="0" w:tplc="BBDA2938">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57AC2147"/>
    <w:multiLevelType w:val="multilevel"/>
    <w:tmpl w:val="CE3416A4"/>
    <w:lvl w:ilvl="0">
      <w:start w:val="7"/>
      <w:numFmt w:val="decimal"/>
      <w:lvlText w:val="%1"/>
      <w:lvlJc w:val="left"/>
      <w:pPr>
        <w:ind w:left="360" w:hanging="360"/>
      </w:pPr>
      <w:rPr>
        <w:rFonts w:hint="default"/>
      </w:rPr>
    </w:lvl>
    <w:lvl w:ilvl="1">
      <w:start w:val="1"/>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5148" w:hanging="144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362" w:hanging="180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2" w15:restartNumberingAfterBreak="0">
    <w:nsid w:val="598D5226"/>
    <w:multiLevelType w:val="hybridMultilevel"/>
    <w:tmpl w:val="72A24840"/>
    <w:lvl w:ilvl="0" w:tplc="06AC7456">
      <w:start w:val="1"/>
      <w:numFmt w:val="decimal"/>
      <w:lvlText w:val="%1)"/>
      <w:lvlJc w:val="left"/>
      <w:pPr>
        <w:ind w:left="2629" w:hanging="360"/>
      </w:pPr>
      <w:rPr>
        <w:rFonts w:eastAsia="Times New Roman" w:cs="Times New Roman" w:hint="default"/>
        <w:color w:val="000000" w:themeColor="text1"/>
      </w:r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13" w15:restartNumberingAfterBreak="0">
    <w:nsid w:val="5B700F92"/>
    <w:multiLevelType w:val="multilevel"/>
    <w:tmpl w:val="4692BC62"/>
    <w:lvl w:ilvl="0">
      <w:start w:val="1"/>
      <w:numFmt w:val="decimal"/>
      <w:lvlText w:val="%1)"/>
      <w:lvlJc w:val="left"/>
      <w:pPr>
        <w:ind w:left="1350" w:hanging="360"/>
      </w:pPr>
      <w:rPr>
        <w:sz w:val="24"/>
        <w:szCs w:val="24"/>
      </w:rPr>
    </w:lvl>
    <w:lvl w:ilvl="1">
      <w:start w:val="1"/>
      <w:numFmt w:val="bullet"/>
      <w:lvlText w:val="o"/>
      <w:lvlJc w:val="left"/>
      <w:pPr>
        <w:ind w:left="1440" w:hanging="360"/>
      </w:pPr>
      <w:rPr>
        <w:rFonts w:ascii="Courier New" w:eastAsia="Times New Roman" w:hAnsi="Courier New" w:cs="Courier New"/>
      </w:rPr>
    </w:lvl>
    <w:lvl w:ilvl="2">
      <w:start w:val="1"/>
      <w:numFmt w:val="bullet"/>
      <w:lvlText w:val=""/>
      <w:lvlJc w:val="left"/>
      <w:pPr>
        <w:ind w:left="2160" w:hanging="360"/>
      </w:pPr>
      <w:rPr>
        <w:rFonts w:ascii="Wingdings" w:eastAsia="Times New Roman" w:hAnsi="Wingdings" w:cs="Wingdings"/>
      </w:rPr>
    </w:lvl>
    <w:lvl w:ilvl="3">
      <w:start w:val="1"/>
      <w:numFmt w:val="bullet"/>
      <w:lvlText w:val=""/>
      <w:lvlJc w:val="left"/>
      <w:pPr>
        <w:ind w:left="2880" w:hanging="360"/>
      </w:pPr>
      <w:rPr>
        <w:rFonts w:ascii="Symbol" w:eastAsia="Times New Roman" w:hAnsi="Symbol" w:cs="Symbol"/>
      </w:rPr>
    </w:lvl>
    <w:lvl w:ilvl="4">
      <w:start w:val="1"/>
      <w:numFmt w:val="bullet"/>
      <w:lvlText w:val="o"/>
      <w:lvlJc w:val="left"/>
      <w:pPr>
        <w:ind w:left="3600" w:hanging="360"/>
      </w:pPr>
      <w:rPr>
        <w:rFonts w:ascii="Courier New" w:eastAsia="Times New Roman" w:hAnsi="Courier New" w:cs="Courier New"/>
      </w:rPr>
    </w:lvl>
    <w:lvl w:ilvl="5">
      <w:start w:val="1"/>
      <w:numFmt w:val="bullet"/>
      <w:lvlText w:val=""/>
      <w:lvlJc w:val="left"/>
      <w:pPr>
        <w:ind w:left="4320" w:hanging="360"/>
      </w:pPr>
      <w:rPr>
        <w:rFonts w:ascii="Wingdings" w:eastAsia="Times New Roman" w:hAnsi="Wingdings" w:cs="Wingdings"/>
      </w:rPr>
    </w:lvl>
    <w:lvl w:ilvl="6">
      <w:start w:val="1"/>
      <w:numFmt w:val="bullet"/>
      <w:lvlText w:val=""/>
      <w:lvlJc w:val="left"/>
      <w:pPr>
        <w:ind w:left="5040" w:hanging="360"/>
      </w:pPr>
      <w:rPr>
        <w:rFonts w:ascii="Symbol" w:eastAsia="Times New Roman" w:hAnsi="Symbol" w:cs="Symbol"/>
      </w:rPr>
    </w:lvl>
    <w:lvl w:ilvl="7">
      <w:start w:val="1"/>
      <w:numFmt w:val="bullet"/>
      <w:lvlText w:val="o"/>
      <w:lvlJc w:val="left"/>
      <w:pPr>
        <w:ind w:left="5760" w:hanging="360"/>
      </w:pPr>
      <w:rPr>
        <w:rFonts w:ascii="Courier New" w:eastAsia="Times New Roman" w:hAnsi="Courier New" w:cs="Courier New"/>
      </w:rPr>
    </w:lvl>
    <w:lvl w:ilvl="8">
      <w:start w:val="1"/>
      <w:numFmt w:val="bullet"/>
      <w:lvlText w:val=""/>
      <w:lvlJc w:val="left"/>
      <w:pPr>
        <w:ind w:left="6480" w:hanging="360"/>
      </w:pPr>
      <w:rPr>
        <w:rFonts w:ascii="Wingdings" w:eastAsia="Times New Roman" w:hAnsi="Wingdings" w:cs="Wingdings"/>
      </w:rPr>
    </w:lvl>
  </w:abstractNum>
  <w:abstractNum w:abstractNumId="14" w15:restartNumberingAfterBreak="0">
    <w:nsid w:val="608B78EB"/>
    <w:multiLevelType w:val="hybridMultilevel"/>
    <w:tmpl w:val="1374B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5C74C6"/>
    <w:multiLevelType w:val="multilevel"/>
    <w:tmpl w:val="B448A888"/>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31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83979C0"/>
    <w:multiLevelType w:val="multilevel"/>
    <w:tmpl w:val="709818A4"/>
    <w:lvl w:ilvl="0">
      <w:start w:val="1"/>
      <w:numFmt w:val="decimal"/>
      <w:pStyle w:val="Heading3"/>
      <w:lvlText w:val="%1."/>
      <w:lvlJc w:val="left"/>
      <w:pPr>
        <w:ind w:left="1260" w:hanging="360"/>
      </w:pPr>
    </w:lvl>
    <w:lvl w:ilvl="1">
      <w:start w:val="1"/>
      <w:numFmt w:val="decimal"/>
      <w:isLgl/>
      <w:lvlText w:val="%1.%2."/>
      <w:lvlJc w:val="left"/>
      <w:pPr>
        <w:ind w:left="1620" w:hanging="72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34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2700" w:hanging="1800"/>
      </w:pPr>
      <w:rPr>
        <w:rFonts w:hint="default"/>
      </w:rPr>
    </w:lvl>
    <w:lvl w:ilvl="8">
      <w:start w:val="1"/>
      <w:numFmt w:val="decimal"/>
      <w:isLgl/>
      <w:lvlText w:val="%1.%2.%3.%4.%5.%6.%7.%8.%9."/>
      <w:lvlJc w:val="left"/>
      <w:pPr>
        <w:ind w:left="3060" w:hanging="2160"/>
      </w:pPr>
      <w:rPr>
        <w:rFonts w:hint="default"/>
      </w:rPr>
    </w:lvl>
  </w:abstractNum>
  <w:num w:numId="1" w16cid:durableId="28923030">
    <w:abstractNumId w:val="14"/>
  </w:num>
  <w:num w:numId="2" w16cid:durableId="1838422546">
    <w:abstractNumId w:val="7"/>
  </w:num>
  <w:num w:numId="3" w16cid:durableId="2084646357">
    <w:abstractNumId w:val="4"/>
  </w:num>
  <w:num w:numId="4" w16cid:durableId="706953253">
    <w:abstractNumId w:val="2"/>
  </w:num>
  <w:num w:numId="5" w16cid:durableId="1838038559">
    <w:abstractNumId w:val="13"/>
    <w:lvlOverride w:ilvl="0">
      <w:startOverride w:val="1"/>
    </w:lvlOverride>
    <w:lvlOverride w:ilvl="1"/>
    <w:lvlOverride w:ilvl="2"/>
    <w:lvlOverride w:ilvl="3"/>
    <w:lvlOverride w:ilvl="4"/>
    <w:lvlOverride w:ilvl="5"/>
    <w:lvlOverride w:ilvl="6"/>
    <w:lvlOverride w:ilvl="7"/>
    <w:lvlOverride w:ilvl="8"/>
  </w:num>
  <w:num w:numId="6" w16cid:durableId="650595910">
    <w:abstractNumId w:val="15"/>
  </w:num>
  <w:num w:numId="7" w16cid:durableId="1351298740">
    <w:abstractNumId w:val="10"/>
  </w:num>
  <w:num w:numId="8" w16cid:durableId="1819611999">
    <w:abstractNumId w:val="0"/>
  </w:num>
  <w:num w:numId="9" w16cid:durableId="1633706349">
    <w:abstractNumId w:val="9"/>
  </w:num>
  <w:num w:numId="10" w16cid:durableId="1657610083">
    <w:abstractNumId w:val="16"/>
  </w:num>
  <w:num w:numId="11" w16cid:durableId="290866046">
    <w:abstractNumId w:val="1"/>
  </w:num>
  <w:num w:numId="12" w16cid:durableId="395977233">
    <w:abstractNumId w:val="2"/>
  </w:num>
  <w:num w:numId="13" w16cid:durableId="2050448579">
    <w:abstractNumId w:val="2"/>
  </w:num>
  <w:num w:numId="14" w16cid:durableId="1142966952">
    <w:abstractNumId w:val="2"/>
  </w:num>
  <w:num w:numId="15" w16cid:durableId="1823347547">
    <w:abstractNumId w:val="2"/>
  </w:num>
  <w:num w:numId="16" w16cid:durableId="879826662">
    <w:abstractNumId w:val="16"/>
  </w:num>
  <w:num w:numId="17" w16cid:durableId="833692114">
    <w:abstractNumId w:val="16"/>
  </w:num>
  <w:num w:numId="18" w16cid:durableId="1580020448">
    <w:abstractNumId w:val="6"/>
  </w:num>
  <w:num w:numId="19" w16cid:durableId="14614182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3432158">
    <w:abstractNumId w:val="5"/>
  </w:num>
  <w:num w:numId="21" w16cid:durableId="673798433">
    <w:abstractNumId w:val="12"/>
  </w:num>
  <w:num w:numId="22" w16cid:durableId="1337877674">
    <w:abstractNumId w:val="8"/>
  </w:num>
  <w:num w:numId="23" w16cid:durableId="2022659028">
    <w:abstractNumId w:val="3"/>
  </w:num>
  <w:num w:numId="24" w16cid:durableId="20024671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19C"/>
    <w:rsid w:val="000027DF"/>
    <w:rsid w:val="0001019C"/>
    <w:rsid w:val="00011206"/>
    <w:rsid w:val="0001233F"/>
    <w:rsid w:val="000154B4"/>
    <w:rsid w:val="0003454A"/>
    <w:rsid w:val="00036F44"/>
    <w:rsid w:val="000405ED"/>
    <w:rsid w:val="00050108"/>
    <w:rsid w:val="00050EE9"/>
    <w:rsid w:val="00052A08"/>
    <w:rsid w:val="00055DDE"/>
    <w:rsid w:val="000677C0"/>
    <w:rsid w:val="000847CA"/>
    <w:rsid w:val="000B5C31"/>
    <w:rsid w:val="000B6B0C"/>
    <w:rsid w:val="000C0CEC"/>
    <w:rsid w:val="000D099F"/>
    <w:rsid w:val="000E290B"/>
    <w:rsid w:val="000E33CF"/>
    <w:rsid w:val="001014E8"/>
    <w:rsid w:val="00112D47"/>
    <w:rsid w:val="00114E4D"/>
    <w:rsid w:val="00120411"/>
    <w:rsid w:val="00161E17"/>
    <w:rsid w:val="001620F7"/>
    <w:rsid w:val="0017684A"/>
    <w:rsid w:val="00180A53"/>
    <w:rsid w:val="001A50C9"/>
    <w:rsid w:val="001B1875"/>
    <w:rsid w:val="001D5AF9"/>
    <w:rsid w:val="001D6C82"/>
    <w:rsid w:val="001E2DFD"/>
    <w:rsid w:val="001E71E6"/>
    <w:rsid w:val="00207C4C"/>
    <w:rsid w:val="00215830"/>
    <w:rsid w:val="00216D6E"/>
    <w:rsid w:val="00242060"/>
    <w:rsid w:val="0024450C"/>
    <w:rsid w:val="0024485B"/>
    <w:rsid w:val="00262762"/>
    <w:rsid w:val="002754D0"/>
    <w:rsid w:val="00283A20"/>
    <w:rsid w:val="0029309C"/>
    <w:rsid w:val="002A3B5F"/>
    <w:rsid w:val="002A77C6"/>
    <w:rsid w:val="002E1898"/>
    <w:rsid w:val="002E234D"/>
    <w:rsid w:val="002E4B6F"/>
    <w:rsid w:val="0030053C"/>
    <w:rsid w:val="00300B90"/>
    <w:rsid w:val="00312FE3"/>
    <w:rsid w:val="00323EB3"/>
    <w:rsid w:val="00325EEA"/>
    <w:rsid w:val="0033452E"/>
    <w:rsid w:val="003465FB"/>
    <w:rsid w:val="00357310"/>
    <w:rsid w:val="00364F1B"/>
    <w:rsid w:val="00370D73"/>
    <w:rsid w:val="00394D49"/>
    <w:rsid w:val="003A4637"/>
    <w:rsid w:val="003A5D8E"/>
    <w:rsid w:val="003C24D4"/>
    <w:rsid w:val="003C7322"/>
    <w:rsid w:val="003D40CE"/>
    <w:rsid w:val="00431A53"/>
    <w:rsid w:val="00432185"/>
    <w:rsid w:val="004358B0"/>
    <w:rsid w:val="00443956"/>
    <w:rsid w:val="00462949"/>
    <w:rsid w:val="00483A64"/>
    <w:rsid w:val="00491F09"/>
    <w:rsid w:val="004973B8"/>
    <w:rsid w:val="004B1577"/>
    <w:rsid w:val="004C04C0"/>
    <w:rsid w:val="005021E3"/>
    <w:rsid w:val="0051533D"/>
    <w:rsid w:val="00535318"/>
    <w:rsid w:val="00547E47"/>
    <w:rsid w:val="00551E78"/>
    <w:rsid w:val="00557E51"/>
    <w:rsid w:val="005659FD"/>
    <w:rsid w:val="00567421"/>
    <w:rsid w:val="00577BE7"/>
    <w:rsid w:val="005845B2"/>
    <w:rsid w:val="00590FE3"/>
    <w:rsid w:val="00591B12"/>
    <w:rsid w:val="0059795F"/>
    <w:rsid w:val="005C411F"/>
    <w:rsid w:val="005E04F6"/>
    <w:rsid w:val="005E0A40"/>
    <w:rsid w:val="006079FD"/>
    <w:rsid w:val="006120AD"/>
    <w:rsid w:val="0062760F"/>
    <w:rsid w:val="00641972"/>
    <w:rsid w:val="00647036"/>
    <w:rsid w:val="00657554"/>
    <w:rsid w:val="00660096"/>
    <w:rsid w:val="006606F4"/>
    <w:rsid w:val="00662468"/>
    <w:rsid w:val="00665D48"/>
    <w:rsid w:val="006664A3"/>
    <w:rsid w:val="00677F29"/>
    <w:rsid w:val="006817DA"/>
    <w:rsid w:val="0069085F"/>
    <w:rsid w:val="00691828"/>
    <w:rsid w:val="006944B1"/>
    <w:rsid w:val="00696D58"/>
    <w:rsid w:val="006A6B74"/>
    <w:rsid w:val="006B0D82"/>
    <w:rsid w:val="006C7F03"/>
    <w:rsid w:val="006D0768"/>
    <w:rsid w:val="006D5F7D"/>
    <w:rsid w:val="006D77A9"/>
    <w:rsid w:val="006D7DD3"/>
    <w:rsid w:val="006E70BF"/>
    <w:rsid w:val="006F2455"/>
    <w:rsid w:val="006F50ED"/>
    <w:rsid w:val="006F5DA5"/>
    <w:rsid w:val="007006BF"/>
    <w:rsid w:val="00722CE1"/>
    <w:rsid w:val="00722ED4"/>
    <w:rsid w:val="007354A6"/>
    <w:rsid w:val="007448E7"/>
    <w:rsid w:val="00746AA2"/>
    <w:rsid w:val="00752793"/>
    <w:rsid w:val="007528AA"/>
    <w:rsid w:val="007564AD"/>
    <w:rsid w:val="00764071"/>
    <w:rsid w:val="007651EA"/>
    <w:rsid w:val="00777383"/>
    <w:rsid w:val="00786EEB"/>
    <w:rsid w:val="00793773"/>
    <w:rsid w:val="007B1FB9"/>
    <w:rsid w:val="007E1F16"/>
    <w:rsid w:val="007E6710"/>
    <w:rsid w:val="007F3C11"/>
    <w:rsid w:val="00810876"/>
    <w:rsid w:val="0082642A"/>
    <w:rsid w:val="00834654"/>
    <w:rsid w:val="008347F4"/>
    <w:rsid w:val="008368B7"/>
    <w:rsid w:val="00854A5F"/>
    <w:rsid w:val="00856E20"/>
    <w:rsid w:val="00862374"/>
    <w:rsid w:val="00866885"/>
    <w:rsid w:val="00867D51"/>
    <w:rsid w:val="00882DDB"/>
    <w:rsid w:val="008B10BF"/>
    <w:rsid w:val="008B30AA"/>
    <w:rsid w:val="008B4948"/>
    <w:rsid w:val="008B7A93"/>
    <w:rsid w:val="008C366D"/>
    <w:rsid w:val="008D0C66"/>
    <w:rsid w:val="008D22ED"/>
    <w:rsid w:val="008D5391"/>
    <w:rsid w:val="008D73FE"/>
    <w:rsid w:val="008E39A9"/>
    <w:rsid w:val="008E76EC"/>
    <w:rsid w:val="008F40E4"/>
    <w:rsid w:val="0090651D"/>
    <w:rsid w:val="00906F7C"/>
    <w:rsid w:val="00921593"/>
    <w:rsid w:val="00923339"/>
    <w:rsid w:val="00924AB9"/>
    <w:rsid w:val="009506EF"/>
    <w:rsid w:val="00986352"/>
    <w:rsid w:val="00986A4C"/>
    <w:rsid w:val="00990D04"/>
    <w:rsid w:val="00992E39"/>
    <w:rsid w:val="009A1671"/>
    <w:rsid w:val="009B05E2"/>
    <w:rsid w:val="009C0351"/>
    <w:rsid w:val="009C37B3"/>
    <w:rsid w:val="009D3CFD"/>
    <w:rsid w:val="009E0464"/>
    <w:rsid w:val="009E0C65"/>
    <w:rsid w:val="00A0165A"/>
    <w:rsid w:val="00A14AAC"/>
    <w:rsid w:val="00A36E79"/>
    <w:rsid w:val="00A47DF1"/>
    <w:rsid w:val="00A52634"/>
    <w:rsid w:val="00A66975"/>
    <w:rsid w:val="00A83098"/>
    <w:rsid w:val="00A84CC6"/>
    <w:rsid w:val="00A8628B"/>
    <w:rsid w:val="00A93575"/>
    <w:rsid w:val="00AB79B8"/>
    <w:rsid w:val="00AC3AF0"/>
    <w:rsid w:val="00AC7D7A"/>
    <w:rsid w:val="00AF7B65"/>
    <w:rsid w:val="00B032F8"/>
    <w:rsid w:val="00B06C98"/>
    <w:rsid w:val="00B075CE"/>
    <w:rsid w:val="00B137DB"/>
    <w:rsid w:val="00B37927"/>
    <w:rsid w:val="00B40217"/>
    <w:rsid w:val="00B4476C"/>
    <w:rsid w:val="00B46447"/>
    <w:rsid w:val="00B56961"/>
    <w:rsid w:val="00B63ECA"/>
    <w:rsid w:val="00B65701"/>
    <w:rsid w:val="00B75B54"/>
    <w:rsid w:val="00B7699F"/>
    <w:rsid w:val="00B76B4D"/>
    <w:rsid w:val="00B82C3E"/>
    <w:rsid w:val="00B950EB"/>
    <w:rsid w:val="00BA3448"/>
    <w:rsid w:val="00BC32B6"/>
    <w:rsid w:val="00BC5B01"/>
    <w:rsid w:val="00BD05BA"/>
    <w:rsid w:val="00BD4E1F"/>
    <w:rsid w:val="00BE28EF"/>
    <w:rsid w:val="00BF4733"/>
    <w:rsid w:val="00C028D2"/>
    <w:rsid w:val="00C10E37"/>
    <w:rsid w:val="00C2039F"/>
    <w:rsid w:val="00C37367"/>
    <w:rsid w:val="00C91A99"/>
    <w:rsid w:val="00CA440C"/>
    <w:rsid w:val="00CB5CFE"/>
    <w:rsid w:val="00CF656C"/>
    <w:rsid w:val="00D06B40"/>
    <w:rsid w:val="00D11D16"/>
    <w:rsid w:val="00D12804"/>
    <w:rsid w:val="00D12B18"/>
    <w:rsid w:val="00D37C5D"/>
    <w:rsid w:val="00D71758"/>
    <w:rsid w:val="00D875E0"/>
    <w:rsid w:val="00D93DA6"/>
    <w:rsid w:val="00D9546F"/>
    <w:rsid w:val="00DA2174"/>
    <w:rsid w:val="00DB45D3"/>
    <w:rsid w:val="00DC32E9"/>
    <w:rsid w:val="00DD0F32"/>
    <w:rsid w:val="00DE6443"/>
    <w:rsid w:val="00E10602"/>
    <w:rsid w:val="00E11051"/>
    <w:rsid w:val="00E2061A"/>
    <w:rsid w:val="00E20E11"/>
    <w:rsid w:val="00E2379D"/>
    <w:rsid w:val="00E37766"/>
    <w:rsid w:val="00E53224"/>
    <w:rsid w:val="00E5764A"/>
    <w:rsid w:val="00E67A97"/>
    <w:rsid w:val="00E9359C"/>
    <w:rsid w:val="00EA00A8"/>
    <w:rsid w:val="00EA3DDE"/>
    <w:rsid w:val="00ED0073"/>
    <w:rsid w:val="00EF3C85"/>
    <w:rsid w:val="00EF66BD"/>
    <w:rsid w:val="00EF6F59"/>
    <w:rsid w:val="00F02A70"/>
    <w:rsid w:val="00F02D7F"/>
    <w:rsid w:val="00F05792"/>
    <w:rsid w:val="00F05C63"/>
    <w:rsid w:val="00F278C3"/>
    <w:rsid w:val="00F359BC"/>
    <w:rsid w:val="00F40229"/>
    <w:rsid w:val="00F50CE5"/>
    <w:rsid w:val="00F512C0"/>
    <w:rsid w:val="00F562D8"/>
    <w:rsid w:val="00F6725E"/>
    <w:rsid w:val="00F84823"/>
    <w:rsid w:val="00F8768F"/>
    <w:rsid w:val="00FA15C9"/>
    <w:rsid w:val="00FA6624"/>
    <w:rsid w:val="00FF0F8A"/>
    <w:rsid w:val="00FF4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17947C"/>
  <w15:chartTrackingRefBased/>
  <w15:docId w15:val="{744F7E1A-666D-42C9-ADD5-17F41C455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HEA Grapalat" w:eastAsiaTheme="minorHAnsi" w:hAnsi="GHEA Grapalat"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E20"/>
    <w:pPr>
      <w:spacing w:after="120" w:line="264" w:lineRule="auto"/>
      <w:ind w:firstLine="567"/>
      <w:jc w:val="both"/>
    </w:pPr>
    <w:rPr>
      <w:lang w:val="hy-AM"/>
    </w:rPr>
  </w:style>
  <w:style w:type="paragraph" w:styleId="Heading1">
    <w:name w:val="heading 1"/>
    <w:basedOn w:val="Heading3"/>
    <w:next w:val="Normal"/>
    <w:link w:val="Heading1Char"/>
    <w:autoRedefine/>
    <w:uiPriority w:val="9"/>
    <w:qFormat/>
    <w:rsid w:val="00A52634"/>
    <w:pPr>
      <w:numPr>
        <w:numId w:val="0"/>
      </w:numPr>
      <w:spacing w:before="240"/>
      <w:jc w:val="center"/>
      <w:outlineLvl w:val="0"/>
    </w:pPr>
  </w:style>
  <w:style w:type="paragraph" w:styleId="Heading2">
    <w:name w:val="heading 2"/>
    <w:basedOn w:val="ListParagraph"/>
    <w:next w:val="Normal"/>
    <w:link w:val="Heading2Char"/>
    <w:autoRedefine/>
    <w:uiPriority w:val="9"/>
    <w:unhideWhenUsed/>
    <w:qFormat/>
    <w:rsid w:val="004973B8"/>
    <w:pPr>
      <w:keepNext/>
      <w:keepLines/>
      <w:spacing w:before="240" w:after="240" w:line="288" w:lineRule="auto"/>
      <w:ind w:left="0"/>
      <w:contextualSpacing w:val="0"/>
      <w:outlineLvl w:val="1"/>
    </w:pPr>
    <w:rPr>
      <w:rFonts w:cs="Calibri"/>
      <w:b/>
      <w:bCs/>
      <w:color w:val="002060"/>
      <w:u w:val="single"/>
      <w:lang w:val="en-US" w:bidi="hi-IN"/>
    </w:rPr>
  </w:style>
  <w:style w:type="paragraph" w:styleId="Heading3">
    <w:name w:val="heading 3"/>
    <w:basedOn w:val="ListParagraph"/>
    <w:next w:val="Normal"/>
    <w:link w:val="Heading3Char"/>
    <w:autoRedefine/>
    <w:uiPriority w:val="9"/>
    <w:unhideWhenUsed/>
    <w:qFormat/>
    <w:rsid w:val="006F50ED"/>
    <w:pPr>
      <w:keepNext/>
      <w:keepLines/>
      <w:numPr>
        <w:numId w:val="10"/>
      </w:numPr>
      <w:tabs>
        <w:tab w:val="left" w:pos="709"/>
      </w:tabs>
      <w:spacing w:before="480" w:after="360" w:line="240" w:lineRule="auto"/>
      <w:contextualSpacing w:val="0"/>
      <w:jc w:val="left"/>
      <w:outlineLvl w:val="2"/>
    </w:pPr>
    <w:rPr>
      <w:rFonts w:eastAsiaTheme="minorHAnsi"/>
      <w:b/>
      <w:bCs/>
      <w:sz w:val="26"/>
      <w:szCs w:val="26"/>
      <w:lang w:val="en-US"/>
    </w:rPr>
  </w:style>
  <w:style w:type="paragraph" w:styleId="Heading4">
    <w:name w:val="heading 4"/>
    <w:basedOn w:val="Heading3"/>
    <w:next w:val="Normal"/>
    <w:link w:val="Heading4Char"/>
    <w:autoRedefine/>
    <w:uiPriority w:val="9"/>
    <w:unhideWhenUsed/>
    <w:qFormat/>
    <w:rsid w:val="00752793"/>
    <w:pPr>
      <w:numPr>
        <w:numId w:val="0"/>
      </w:numPr>
      <w:outlineLvl w:val="3"/>
    </w:pPr>
    <w:rPr>
      <w:color w:val="806000" w:themeColor="accent4" w:themeShade="8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0464"/>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29309C"/>
    <w:rPr>
      <w:vertAlign w:val="superscript"/>
    </w:rPr>
  </w:style>
  <w:style w:type="paragraph" w:styleId="ListParagraph">
    <w:name w:val="List Paragraph"/>
    <w:aliases w:val="List Paragraph (numbered (a)),Bullets,List Paragraph nowy,Liste 1,ECDC AF Paragraph,List_Paragraph,Multilevel para_II,List Paragraph1,List Paragraph-ExecSummary,Bullet1,References,IBL List Paragraph,Numbered List Paragraph,Numbering"/>
    <w:basedOn w:val="Normal"/>
    <w:link w:val="ListParagraphChar"/>
    <w:uiPriority w:val="34"/>
    <w:qFormat/>
    <w:rsid w:val="006817DA"/>
    <w:pPr>
      <w:numPr>
        <w:numId w:val="4"/>
      </w:numPr>
      <w:spacing w:after="160" w:line="300" w:lineRule="auto"/>
      <w:contextualSpacing/>
    </w:pPr>
    <w:rPr>
      <w:rFonts w:eastAsiaTheme="minorEastAsia"/>
      <w:lang w:val="en-GB"/>
    </w:rPr>
  </w:style>
  <w:style w:type="character" w:customStyle="1" w:styleId="ListParagraphChar">
    <w:name w:val="List Paragraph Char"/>
    <w:aliases w:val="List Paragraph (numbered (a)) Char,Bullets Char,List Paragraph nowy Char,Liste 1 Char,ECDC AF Paragraph Char,List_Paragraph Char,Multilevel para_II Char,List Paragraph1 Char,List Paragraph-ExecSummary Char,Bullet1 Char,Numbering Char"/>
    <w:link w:val="ListParagraph"/>
    <w:uiPriority w:val="34"/>
    <w:rsid w:val="006817DA"/>
    <w:rPr>
      <w:rFonts w:eastAsiaTheme="minorEastAsia"/>
      <w:lang w:val="en-GB"/>
    </w:rPr>
  </w:style>
  <w:style w:type="paragraph" w:styleId="FootnoteText">
    <w:name w:val="footnote text"/>
    <w:basedOn w:val="Normal"/>
    <w:link w:val="FootnoteTextChar"/>
    <w:uiPriority w:val="99"/>
    <w:unhideWhenUsed/>
    <w:rsid w:val="00B06C98"/>
    <w:pPr>
      <w:spacing w:after="0" w:line="240" w:lineRule="auto"/>
      <w:ind w:firstLine="0"/>
    </w:pPr>
    <w:rPr>
      <w:i/>
      <w:sz w:val="20"/>
      <w:szCs w:val="20"/>
    </w:rPr>
  </w:style>
  <w:style w:type="character" w:customStyle="1" w:styleId="FootnoteTextChar">
    <w:name w:val="Footnote Text Char"/>
    <w:basedOn w:val="DefaultParagraphFont"/>
    <w:link w:val="FootnoteText"/>
    <w:uiPriority w:val="99"/>
    <w:rsid w:val="00B06C98"/>
    <w:rPr>
      <w:i/>
      <w:sz w:val="20"/>
      <w:szCs w:val="20"/>
      <w:lang w:val="hy-AM"/>
    </w:rPr>
  </w:style>
  <w:style w:type="character" w:styleId="CommentReference">
    <w:name w:val="annotation reference"/>
    <w:basedOn w:val="DefaultParagraphFont"/>
    <w:uiPriority w:val="99"/>
    <w:semiHidden/>
    <w:unhideWhenUsed/>
    <w:rsid w:val="00B46447"/>
    <w:rPr>
      <w:sz w:val="16"/>
      <w:szCs w:val="16"/>
    </w:rPr>
  </w:style>
  <w:style w:type="paragraph" w:styleId="CommentText">
    <w:name w:val="annotation text"/>
    <w:basedOn w:val="Normal"/>
    <w:link w:val="CommentTextChar"/>
    <w:uiPriority w:val="99"/>
    <w:unhideWhenUsed/>
    <w:rsid w:val="008F40E4"/>
    <w:pPr>
      <w:spacing w:line="240" w:lineRule="auto"/>
    </w:pPr>
    <w:rPr>
      <w:color w:val="0070C0"/>
      <w:sz w:val="28"/>
      <w:szCs w:val="20"/>
    </w:rPr>
  </w:style>
  <w:style w:type="character" w:customStyle="1" w:styleId="CommentTextChar">
    <w:name w:val="Comment Text Char"/>
    <w:basedOn w:val="DefaultParagraphFont"/>
    <w:link w:val="CommentText"/>
    <w:uiPriority w:val="99"/>
    <w:rsid w:val="008F40E4"/>
    <w:rPr>
      <w:color w:val="0070C0"/>
      <w:sz w:val="28"/>
      <w:szCs w:val="20"/>
      <w:lang w:val="hy-AM"/>
    </w:rPr>
  </w:style>
  <w:style w:type="paragraph" w:styleId="CommentSubject">
    <w:name w:val="annotation subject"/>
    <w:basedOn w:val="CommentText"/>
    <w:next w:val="CommentText"/>
    <w:link w:val="CommentSubjectChar"/>
    <w:uiPriority w:val="99"/>
    <w:semiHidden/>
    <w:unhideWhenUsed/>
    <w:rsid w:val="00B46447"/>
    <w:rPr>
      <w:b/>
      <w:bCs/>
    </w:rPr>
  </w:style>
  <w:style w:type="character" w:customStyle="1" w:styleId="CommentSubjectChar">
    <w:name w:val="Comment Subject Char"/>
    <w:basedOn w:val="CommentTextChar"/>
    <w:link w:val="CommentSubject"/>
    <w:uiPriority w:val="99"/>
    <w:semiHidden/>
    <w:rsid w:val="00B46447"/>
    <w:rPr>
      <w:rFonts w:asciiTheme="minorHAnsi" w:hAnsiTheme="minorHAnsi"/>
      <w:b/>
      <w:bCs/>
      <w:color w:val="0070C0"/>
      <w:sz w:val="20"/>
      <w:szCs w:val="20"/>
      <w:lang w:val="hy-AM"/>
    </w:rPr>
  </w:style>
  <w:style w:type="paragraph" w:styleId="Subtitle">
    <w:name w:val="Subtitle"/>
    <w:basedOn w:val="Normal"/>
    <w:next w:val="Normal"/>
    <w:link w:val="SubtitleChar"/>
    <w:uiPriority w:val="11"/>
    <w:qFormat/>
    <w:rsid w:val="007E6710"/>
    <w:pPr>
      <w:keepNext/>
      <w:keepLines/>
      <w:spacing w:before="360" w:after="240"/>
    </w:pPr>
    <w:rPr>
      <w:b/>
      <w:bCs/>
      <w:lang w:bidi="hi-IN"/>
    </w:rPr>
  </w:style>
  <w:style w:type="character" w:customStyle="1" w:styleId="SubtitleChar">
    <w:name w:val="Subtitle Char"/>
    <w:basedOn w:val="DefaultParagraphFont"/>
    <w:link w:val="Subtitle"/>
    <w:uiPriority w:val="11"/>
    <w:rsid w:val="007E6710"/>
    <w:rPr>
      <w:b/>
      <w:bCs/>
      <w:lang w:val="hy-AM" w:bidi="hi-IN"/>
    </w:rPr>
  </w:style>
  <w:style w:type="character" w:customStyle="1" w:styleId="Heading1Char">
    <w:name w:val="Heading 1 Char"/>
    <w:basedOn w:val="DefaultParagraphFont"/>
    <w:link w:val="Heading1"/>
    <w:uiPriority w:val="9"/>
    <w:rsid w:val="00A52634"/>
    <w:rPr>
      <w:b/>
      <w:bCs/>
      <w:sz w:val="26"/>
      <w:szCs w:val="26"/>
    </w:rPr>
  </w:style>
  <w:style w:type="character" w:customStyle="1" w:styleId="Heading2Char">
    <w:name w:val="Heading 2 Char"/>
    <w:basedOn w:val="DefaultParagraphFont"/>
    <w:link w:val="Heading2"/>
    <w:uiPriority w:val="9"/>
    <w:rsid w:val="004973B8"/>
    <w:rPr>
      <w:rFonts w:eastAsiaTheme="minorEastAsia" w:cs="Calibri"/>
      <w:b/>
      <w:bCs/>
      <w:color w:val="002060"/>
      <w:u w:val="single"/>
      <w:lang w:bidi="hi-IN"/>
    </w:rPr>
  </w:style>
  <w:style w:type="character" w:customStyle="1" w:styleId="Heading3Char">
    <w:name w:val="Heading 3 Char"/>
    <w:basedOn w:val="DefaultParagraphFont"/>
    <w:link w:val="Heading3"/>
    <w:uiPriority w:val="9"/>
    <w:rsid w:val="006F50ED"/>
    <w:rPr>
      <w:b/>
      <w:bCs/>
      <w:sz w:val="26"/>
      <w:szCs w:val="26"/>
    </w:rPr>
  </w:style>
  <w:style w:type="character" w:customStyle="1" w:styleId="Heading4Char">
    <w:name w:val="Heading 4 Char"/>
    <w:basedOn w:val="DefaultParagraphFont"/>
    <w:link w:val="Heading4"/>
    <w:uiPriority w:val="9"/>
    <w:rsid w:val="00752793"/>
    <w:rPr>
      <w:b/>
      <w:bCs/>
      <w:color w:val="806000" w:themeColor="accent4" w:themeShade="80"/>
      <w:szCs w:val="26"/>
    </w:rPr>
  </w:style>
  <w:style w:type="paragraph" w:customStyle="1" w:styleId="Default">
    <w:name w:val="Default"/>
    <w:rsid w:val="00DC32E9"/>
    <w:pPr>
      <w:widowControl w:val="0"/>
      <w:autoSpaceDN w:val="0"/>
      <w:adjustRightInd w:val="0"/>
      <w:spacing w:line="254" w:lineRule="auto"/>
    </w:pPr>
    <w:rPr>
      <w:rFonts w:ascii="Calibri" w:eastAsia="Times New Roman" w:hAnsi="Calibri" w:cs="Calibri"/>
      <w:sz w:val="21"/>
      <w:szCs w:val="21"/>
      <w:lang w:bidi="hi-IN"/>
    </w:rPr>
  </w:style>
  <w:style w:type="character" w:styleId="IntenseEmphasis">
    <w:name w:val="Intense Emphasis"/>
    <w:uiPriority w:val="21"/>
    <w:qFormat/>
    <w:rsid w:val="00DC32E9"/>
    <w:rPr>
      <w:rFonts w:eastAsiaTheme="minorEastAsia"/>
      <w:b/>
      <w:i/>
      <w:szCs w:val="24"/>
      <w:lang w:val="hy-AM"/>
    </w:rPr>
  </w:style>
  <w:style w:type="paragraph" w:styleId="NormalWeb">
    <w:name w:val="Normal (Web)"/>
    <w:basedOn w:val="Normal"/>
    <w:uiPriority w:val="99"/>
    <w:unhideWhenUsed/>
    <w:rsid w:val="00DC32E9"/>
    <w:pPr>
      <w:spacing w:before="100" w:beforeAutospacing="1" w:after="100" w:afterAutospacing="1"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B03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2F8"/>
    <w:rPr>
      <w:rFonts w:asciiTheme="minorHAnsi" w:hAnsiTheme="minorHAnsi"/>
      <w:sz w:val="22"/>
      <w:szCs w:val="22"/>
    </w:rPr>
  </w:style>
  <w:style w:type="paragraph" w:styleId="Footer">
    <w:name w:val="footer"/>
    <w:basedOn w:val="Normal"/>
    <w:link w:val="FooterChar"/>
    <w:uiPriority w:val="99"/>
    <w:unhideWhenUsed/>
    <w:rsid w:val="00856E20"/>
    <w:pPr>
      <w:pBdr>
        <w:top w:val="single" w:sz="12" w:space="1" w:color="0070C0"/>
      </w:pBdr>
      <w:tabs>
        <w:tab w:val="center" w:pos="4680"/>
        <w:tab w:val="right" w:pos="9360"/>
      </w:tabs>
      <w:spacing w:after="0" w:line="240" w:lineRule="auto"/>
      <w:ind w:firstLine="0"/>
    </w:pPr>
    <w:rPr>
      <w:sz w:val="20"/>
      <w:szCs w:val="20"/>
    </w:rPr>
  </w:style>
  <w:style w:type="character" w:customStyle="1" w:styleId="FooterChar">
    <w:name w:val="Footer Char"/>
    <w:basedOn w:val="DefaultParagraphFont"/>
    <w:link w:val="Footer"/>
    <w:uiPriority w:val="99"/>
    <w:rsid w:val="00856E20"/>
    <w:rPr>
      <w:sz w:val="20"/>
      <w:szCs w:val="20"/>
      <w:lang w:val="hy-AM"/>
    </w:rPr>
  </w:style>
  <w:style w:type="paragraph" w:styleId="Revision">
    <w:name w:val="Revision"/>
    <w:hidden/>
    <w:uiPriority w:val="99"/>
    <w:semiHidden/>
    <w:rsid w:val="006E70BF"/>
    <w:pPr>
      <w:spacing w:after="0" w:line="240" w:lineRule="auto"/>
    </w:pPr>
    <w:rPr>
      <w:rFonts w:asciiTheme="minorHAnsi" w:hAnsiTheme="minorHAnsi"/>
      <w:sz w:val="22"/>
      <w:szCs w:val="22"/>
    </w:rPr>
  </w:style>
  <w:style w:type="paragraph" w:styleId="Title">
    <w:name w:val="Title"/>
    <w:basedOn w:val="Normal"/>
    <w:next w:val="Normal"/>
    <w:link w:val="TitleChar"/>
    <w:uiPriority w:val="10"/>
    <w:qFormat/>
    <w:rsid w:val="00856E20"/>
    <w:pPr>
      <w:keepNext/>
      <w:keepLines/>
      <w:spacing w:before="360" w:after="480"/>
      <w:ind w:left="1134" w:right="992" w:firstLine="0"/>
      <w:jc w:val="center"/>
    </w:pPr>
    <w:rPr>
      <w:b/>
      <w:color w:val="002060"/>
      <w:sz w:val="28"/>
      <w:szCs w:val="28"/>
    </w:rPr>
  </w:style>
  <w:style w:type="character" w:customStyle="1" w:styleId="TitleChar">
    <w:name w:val="Title Char"/>
    <w:basedOn w:val="DefaultParagraphFont"/>
    <w:link w:val="Title"/>
    <w:uiPriority w:val="10"/>
    <w:rsid w:val="00856E20"/>
    <w:rPr>
      <w:b/>
      <w:color w:val="002060"/>
      <w:sz w:val="28"/>
      <w:szCs w:val="28"/>
      <w:lang w:val="hy-AM"/>
    </w:rPr>
  </w:style>
  <w:style w:type="character" w:styleId="Strong">
    <w:name w:val="Strong"/>
    <w:uiPriority w:val="22"/>
    <w:qFormat/>
    <w:rsid w:val="006817DA"/>
    <w:rPr>
      <w:b/>
      <w:bCs/>
      <w:u w:val="single"/>
    </w:rPr>
  </w:style>
  <w:style w:type="table" w:customStyle="1" w:styleId="TableGrid1">
    <w:name w:val="Table Grid1"/>
    <w:basedOn w:val="TableNormal"/>
    <w:next w:val="TableGrid"/>
    <w:uiPriority w:val="39"/>
    <w:rsid w:val="0033452E"/>
    <w:pPr>
      <w:spacing w:after="0" w:line="240" w:lineRule="auto"/>
    </w:pPr>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F3C85"/>
    <w:rPr>
      <w:color w:val="666666"/>
    </w:rPr>
  </w:style>
  <w:style w:type="character" w:styleId="PageNumber">
    <w:name w:val="page number"/>
    <w:basedOn w:val="DefaultParagraphFont"/>
    <w:uiPriority w:val="99"/>
    <w:semiHidden/>
    <w:unhideWhenUsed/>
    <w:rsid w:val="00EF3C85"/>
  </w:style>
  <w:style w:type="character" w:styleId="BookTitle">
    <w:name w:val="Book Title"/>
    <w:basedOn w:val="DefaultParagraphFont"/>
    <w:uiPriority w:val="33"/>
    <w:qFormat/>
    <w:rsid w:val="00856E20"/>
    <w:rPr>
      <w:b/>
      <w:bCs/>
      <w:i/>
      <w:iCs/>
      <w:spacing w:val="5"/>
    </w:rPr>
  </w:style>
  <w:style w:type="paragraph" w:styleId="Quote">
    <w:name w:val="Quote"/>
    <w:basedOn w:val="Normal"/>
    <w:next w:val="Normal"/>
    <w:link w:val="QuoteChar"/>
    <w:uiPriority w:val="29"/>
    <w:qFormat/>
    <w:rsid w:val="006817DA"/>
    <w:rPr>
      <w:b/>
      <w:bCs/>
      <w:i/>
      <w:iCs/>
    </w:rPr>
  </w:style>
  <w:style w:type="character" w:customStyle="1" w:styleId="QuoteChar">
    <w:name w:val="Quote Char"/>
    <w:basedOn w:val="DefaultParagraphFont"/>
    <w:link w:val="Quote"/>
    <w:uiPriority w:val="29"/>
    <w:rsid w:val="006817DA"/>
    <w:rPr>
      <w:b/>
      <w:bCs/>
      <w:i/>
      <w:iCs/>
      <w:lang w:val="hy-AM"/>
    </w:rPr>
  </w:style>
  <w:style w:type="character" w:styleId="Hyperlink">
    <w:name w:val="Hyperlink"/>
    <w:basedOn w:val="DefaultParagraphFont"/>
    <w:uiPriority w:val="99"/>
    <w:unhideWhenUsed/>
    <w:rsid w:val="009A1671"/>
    <w:rPr>
      <w:color w:val="0563C1" w:themeColor="hyperlink"/>
      <w:u w:val="single"/>
    </w:rPr>
  </w:style>
  <w:style w:type="character" w:styleId="Emphasis">
    <w:name w:val="Emphasis"/>
    <w:basedOn w:val="DefaultParagraphFont"/>
    <w:uiPriority w:val="20"/>
    <w:qFormat/>
    <w:rsid w:val="00F848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1689107">
      <w:bodyDiv w:val="1"/>
      <w:marLeft w:val="0"/>
      <w:marRight w:val="0"/>
      <w:marTop w:val="0"/>
      <w:marBottom w:val="0"/>
      <w:divBdr>
        <w:top w:val="none" w:sz="0" w:space="0" w:color="auto"/>
        <w:left w:val="none" w:sz="0" w:space="0" w:color="auto"/>
        <w:bottom w:val="none" w:sz="0" w:space="0" w:color="auto"/>
        <w:right w:val="none" w:sz="0" w:space="0" w:color="auto"/>
      </w:divBdr>
    </w:div>
    <w:div w:id="137419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rx.com/about-cosign-digital-signature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arx.com/about-cosign-digital-signatures" TargetMode="External"/><Relationship Id="rId17" Type="http://schemas.openxmlformats.org/officeDocument/2006/relationships/hyperlink" Target="https://www.arlis.am/DocumentView.aspx?DocID=163434"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x.com/about-cosign-digital-signatures" TargetMode="External"/><Relationship Id="rId5" Type="http://schemas.openxmlformats.org/officeDocument/2006/relationships/webSettings" Target="webSettings.xml"/><Relationship Id="rId15" Type="http://schemas.openxmlformats.org/officeDocument/2006/relationships/hyperlink" Target="http://www.arx.com/about-cosign-digital-signatures" TargetMode="External"/><Relationship Id="rId23" Type="http://schemas.openxmlformats.org/officeDocument/2006/relationships/theme" Target="theme/theme1.xml"/><Relationship Id="rId10" Type="http://schemas.openxmlformats.org/officeDocument/2006/relationships/hyperlink" Target="http://www.arx.com/about-cosign-digital-signature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arx.com/about-cosign-digital-signatures" TargetMode="External"/><Relationship Id="rId14" Type="http://schemas.openxmlformats.org/officeDocument/2006/relationships/image" Target="media/image2.wmf"/><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armsai.am/sites/default/files/Decree%2067-L.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081A1-E4D5-40EA-99DB-65E2F7027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5001</Words>
  <Characters>28511</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Հաշվեքննիչ պալատի 2026 թվականի գործունեության ծրագիրը</vt:lpstr>
    </vt:vector>
  </TitlesOfParts>
  <Company>diakov.net</Company>
  <LinksUpToDate>false</LinksUpToDate>
  <CharactersWithSpaces>33446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Հաշվեքննիչ պալատի 2026 թվականի գործունեության ծրագիրը</dc:title>
  <dc:subject/>
  <dc:creator>Gayane Matevosyan</dc:creator>
  <cp:keywords>https:/mul2.armsai.am/tasks/22729/oneclick?token=6741d95fedadd1b12e6778d46b7948ca</cp:keywords>
  <dc:description/>
  <cp:lastModifiedBy>Գայանե Մաթևոսյան</cp:lastModifiedBy>
  <cp:revision>3</cp:revision>
  <dcterms:created xsi:type="dcterms:W3CDTF">2025-12-30T04:11:00Z</dcterms:created>
  <dcterms:modified xsi:type="dcterms:W3CDTF">2026-01-14T09:05:00Z</dcterms:modified>
</cp:coreProperties>
</file>