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480" w:rsidRDefault="00B03480" w:rsidP="009218B2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bookmarkStart w:id="0" w:name="_GoBack"/>
      <w:bookmarkEnd w:id="0"/>
    </w:p>
    <w:p w:rsidR="009218B2" w:rsidRPr="00EC25C4" w:rsidRDefault="009218B2" w:rsidP="009218B2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892E87">
        <w:rPr>
          <w:rFonts w:ascii="GHEA Grapalat" w:hAnsi="GHEA Grapalat" w:cs="Sylfaen"/>
          <w:b/>
          <w:sz w:val="24"/>
          <w:szCs w:val="24"/>
          <w:lang w:val="hy-AM"/>
        </w:rPr>
        <w:t>ՀԱՂՈՐԴԱԿՑՈՒԹՅԱՆ ԵՎ ԱՐԱՐՈՂԱԿԱՐԳԻ ԲԱԺՆՈՒՄ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9218B2" w:rsidRDefault="009218B2" w:rsidP="00892E87">
      <w:pPr>
        <w:spacing w:after="0" w:line="360" w:lineRule="auto"/>
        <w:rPr>
          <w:rFonts w:ascii="GHEA Grapalat" w:hAnsi="GHEA Grapalat" w:cs="Sylfaen"/>
          <w:b/>
          <w:sz w:val="24"/>
          <w:szCs w:val="24"/>
          <w:lang w:val="hy-AM"/>
        </w:rPr>
      </w:pPr>
    </w:p>
    <w:p w:rsidR="0020381B" w:rsidRDefault="0020381B" w:rsidP="0020381B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:rsidR="005E015C" w:rsidRDefault="005E015C" w:rsidP="005E015C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:rsidR="005E015C" w:rsidRDefault="005E015C" w:rsidP="005E015C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ԾՐԱԳԻՐ</w:t>
      </w:r>
    </w:p>
    <w:p w:rsidR="005E015C" w:rsidRDefault="005E015C" w:rsidP="005E015C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ՀԱՂՈՐԴԱԿՑՈՒԹՅԱՆ ԵՎ ԱՐԱՐՈՂԱԿԱՐԳԻ ԲԱԺՆՈՒՄ 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ՓՈՐՁԱԳԵՏԻ ԿՈՂՄԻՑ ԻՐԱԿԱՆԱՑՎՈՂ ԱՇԽԱՏԱՆՔՆԵՐԻ</w:t>
      </w:r>
    </w:p>
    <w:p w:rsidR="005E015C" w:rsidRDefault="005E015C" w:rsidP="005E015C">
      <w:pPr>
        <w:spacing w:after="0" w:line="360" w:lineRule="auto"/>
        <w:rPr>
          <w:rFonts w:ascii="GHEA Grapalat" w:hAnsi="GHEA Grapalat" w:cs="Sylfaen"/>
          <w:i/>
          <w:sz w:val="24"/>
          <w:szCs w:val="24"/>
          <w:lang w:val="hy-AM"/>
        </w:rPr>
      </w:pPr>
    </w:p>
    <w:p w:rsidR="005E015C" w:rsidRDefault="005E015C" w:rsidP="005E015C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ՆԵՐԳՐԱՎՄԱՆ ԴԵՊՔԸ ԵՎ </w:t>
      </w:r>
      <w:r>
        <w:rPr>
          <w:rFonts w:ascii="GHEA Grapalat" w:hAnsi="GHEA Grapalat"/>
          <w:b/>
          <w:sz w:val="24"/>
          <w:szCs w:val="24"/>
        </w:rPr>
        <w:t>ՀԻՄՆԱՎՈՐՈՒՄ</w:t>
      </w:r>
      <w:r>
        <w:rPr>
          <w:rFonts w:ascii="GHEA Grapalat" w:hAnsi="GHEA Grapalat"/>
          <w:b/>
          <w:sz w:val="24"/>
          <w:szCs w:val="24"/>
          <w:lang w:val="hy-AM"/>
        </w:rPr>
        <w:t>ՆԵՐ</w:t>
      </w:r>
      <w:r>
        <w:rPr>
          <w:rFonts w:ascii="GHEA Grapalat" w:hAnsi="GHEA Grapalat"/>
          <w:b/>
          <w:sz w:val="24"/>
          <w:szCs w:val="24"/>
        </w:rPr>
        <w:t>Ը</w:t>
      </w:r>
    </w:p>
    <w:p w:rsidR="005E015C" w:rsidRDefault="005E015C" w:rsidP="005E015C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5E015C" w:rsidRDefault="005E015C" w:rsidP="005E015C">
      <w:pPr>
        <w:pStyle w:val="BodyTextIndent"/>
        <w:tabs>
          <w:tab w:val="left" w:pos="1170"/>
        </w:tabs>
        <w:spacing w:after="0" w:line="360" w:lineRule="auto"/>
        <w:ind w:left="0" w:right="9" w:firstLine="540"/>
        <w:jc w:val="both"/>
        <w:rPr>
          <w:rFonts w:ascii="GHEA Grapalat" w:eastAsiaTheme="minorEastAsia" w:hAnsi="GHEA Grapalat" w:cstheme="minorBidi"/>
          <w:color w:val="00000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eastAsiaTheme="minorEastAsia" w:hAnsi="GHEA Grapalat" w:cstheme="minorBidi"/>
          <w:color w:val="000000"/>
          <w:sz w:val="24"/>
          <w:szCs w:val="24"/>
          <w:lang w:val="hy-AM"/>
        </w:rPr>
        <w:t xml:space="preserve">Հաշվեքննիչ պալատի հաղորդակցության և արարողակարգի բաժինը (այսուհետ՝ Բաժին) Հաշվեքննիչ պալատի աջակցող մասնագիտական կառուցվածքային ստորաբաժանում է, որն ապահովում է ՀՀ Սահմանադրությանը, օրենքներին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և այլ իրավական ակտերին </w:t>
      </w:r>
      <w:r>
        <w:rPr>
          <w:rFonts w:ascii="GHEA Grapalat" w:eastAsiaTheme="minorEastAsia" w:hAnsi="GHEA Grapalat" w:cstheme="minorBidi"/>
          <w:color w:val="000000"/>
          <w:sz w:val="24"/>
          <w:szCs w:val="24"/>
          <w:lang w:val="hy-AM"/>
        </w:rPr>
        <w:t xml:space="preserve">համապատասխան Հաշվեքննիչ պալատի հաղորդակցությունը՝ շահառուների հետ փոխգործակցությունը և ներքին հաղորդակցության արդյունավետ միջավայրի առկայությունը,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ինչպես նաև Հայաստանի Հանրապետության միջազգային պայմանագրերով սահմանված լիազորությունների շրջանակում և կարգով այլ բարձրագույն հաշվեքննիչ մարմինների հետ համատեղ իրականացվող այդ պայմանագրերով ստանձնած պարտավորությունների կատարումը:</w:t>
      </w:r>
    </w:p>
    <w:p w:rsidR="005E015C" w:rsidRDefault="005E015C" w:rsidP="005E015C">
      <w:pPr>
        <w:shd w:val="clear" w:color="auto" w:fill="FFFFFF"/>
        <w:spacing w:line="360" w:lineRule="auto"/>
        <w:ind w:firstLine="54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Հաշվի առնելով «Եվրասիական տնտեսական միության մասին» համաձայնագրով սահմանված դրույթները, Հաշվեքննիչ պալատը, որպես Հայաստանի Հանրապետության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արտաքին հաշվեքննություն (հսկողություն) իրականացնող պետական ֆինանսական հսկողության մարմին, </w:t>
      </w:r>
      <w:r>
        <w:rPr>
          <w:rFonts w:ascii="GHEA Grapalat" w:hAnsi="GHEA Grapalat"/>
          <w:sz w:val="24"/>
          <w:szCs w:val="24"/>
          <w:lang w:val="hy-AM"/>
        </w:rPr>
        <w:t>յուրաքանչյուր տարի</w:t>
      </w:r>
      <w:r>
        <w:rPr>
          <w:rFonts w:ascii="Calibri" w:hAnsi="Calibri" w:cs="Calibri"/>
          <w:sz w:val="24"/>
          <w:szCs w:val="24"/>
          <w:lang w:val="hy-AM"/>
        </w:rPr>
        <w:t> </w:t>
      </w:r>
      <w:r>
        <w:rPr>
          <w:rFonts w:ascii="GHEA Grapalat" w:hAnsi="GHEA Grapalat"/>
          <w:sz w:val="24"/>
          <w:szCs w:val="24"/>
          <w:lang w:val="hy-AM"/>
        </w:rPr>
        <w:t>մասնակցում է «Եվրասիական տնտեսական միության մասին» համաձայնագրով նախատեսված ԵԱՏՄ անդամ պետությունների բարձրագույն հաշվեքննիչ մարմինների կողմից իրականացվող երկու համատեղ հսկողական  միջոցառումներին՝ հետևյալ թեմաներով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5E015C" w:rsidRDefault="005E015C" w:rsidP="005E015C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GHEA Grapalat" w:eastAsiaTheme="minorEastAsia" w:hAnsi="GHEA Grapalat" w:cstheme="minorBidi"/>
          <w:lang w:val="hy-AM"/>
        </w:rPr>
      </w:pPr>
      <w:r>
        <w:rPr>
          <w:rFonts w:ascii="GHEA Grapalat" w:eastAsiaTheme="minorEastAsia" w:hAnsi="GHEA Grapalat" w:cstheme="minorBidi"/>
          <w:lang w:val="hy-AM"/>
        </w:rPr>
        <w:t>ԵԱՏՄ անդամ պետությունների ներմուծման մաքսատուրքերի (համարժեք այլ տուրքերի, հարկերի և հավաքագրումների) գումարների հաշվեգրում և բաշխում, դրանք, որպես եկամուտ Եվրասիական տնտեսական միության անդամ պետությունների բյուջեներ փոխանցում,</w:t>
      </w:r>
    </w:p>
    <w:p w:rsidR="005E015C" w:rsidRDefault="005E015C" w:rsidP="005E015C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GHEA Grapalat" w:eastAsiaTheme="minorEastAsia" w:hAnsi="GHEA Grapalat" w:cstheme="minorBidi"/>
          <w:lang w:val="hy-AM"/>
        </w:rPr>
      </w:pPr>
      <w:r>
        <w:rPr>
          <w:rFonts w:ascii="GHEA Grapalat" w:eastAsiaTheme="minorEastAsia" w:hAnsi="GHEA Grapalat" w:cstheme="minorBidi"/>
          <w:lang w:val="hy-AM"/>
        </w:rPr>
        <w:lastRenderedPageBreak/>
        <w:t>ԵԱՏՄ բյուջեի միջոցների ձևավորում, կառավարում ու տնօրինում, Եվրասիական տնտեսական միության գույքի և այլ ակտիվների օգտագործում:</w:t>
      </w:r>
    </w:p>
    <w:p w:rsidR="005E015C" w:rsidRDefault="005E015C" w:rsidP="005E015C">
      <w:pPr>
        <w:spacing w:line="360" w:lineRule="auto"/>
        <w:ind w:firstLine="567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ԵԱՏՄ շրջանակում համատեղ հսկողական միջոցառումները կրում</w:t>
      </w:r>
      <w:r>
        <w:rPr>
          <w:rFonts w:ascii="Calibri" w:hAnsi="Calibri" w:cs="Calibri"/>
          <w:sz w:val="24"/>
          <w:szCs w:val="24"/>
          <w:lang w:val="hy-AM"/>
        </w:rPr>
        <w:t xml:space="preserve">  </w:t>
      </w:r>
      <w:r>
        <w:rPr>
          <w:rFonts w:ascii="GHEA Grapalat" w:hAnsi="GHEA Grapalat"/>
          <w:sz w:val="24"/>
          <w:szCs w:val="24"/>
          <w:lang w:val="hy-AM"/>
        </w:rPr>
        <w:t>են շարունակական բնույթ, ուստի, այդ գործառույթի իրականացման համար անհրաժեշտ է Բաժնում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ներգրավել փորձագետ։</w:t>
      </w:r>
    </w:p>
    <w:p w:rsidR="005E015C" w:rsidRDefault="005E015C" w:rsidP="005E015C">
      <w:pPr>
        <w:shd w:val="clear" w:color="auto" w:fill="FFFFFF"/>
        <w:spacing w:line="360" w:lineRule="auto"/>
        <w:ind w:firstLine="54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Փորձագետի աշխատանքը՝ աշխատանքային պայմանագրի գործողության ընթացքում, ընդգրկում է հետևյալ գործառույթների իրականացումը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5E015C" w:rsidRDefault="005E015C" w:rsidP="005E015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իրականացնել Բաժնի ներքին կազմակերպչական աշխատանքները` թարգմանություններ ռուսերենից հայերեն և հայերենից ռուսերեն,</w:t>
      </w:r>
    </w:p>
    <w:p w:rsidR="005E015C" w:rsidRDefault="005E015C" w:rsidP="005E015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ղեկավարվելով 2014 թվականի մայիսի 29-ի «Եվրասիական տնտեսական միության մասին» միջազգային պայմանագրի 22-րդ և 26-րդ հոդվածներով սահմանված պահանջներով, մասնակցել «Ներմուծման մաքսատուրքերի ԵԱՏՄ անդամ պետությունների բյուջեների միջև բաշխման ենթակա գումարները ժամանակին փոխանցելու կարգի կիրառման նկատմամբ» և «Եվրասիական տնտեսական միության մարմիններում արտաքին աուդիտ (հսկողություն) իրականացնելու մասին» ԵԱՏՄ անդամ պետությունների բարձրագույն հաշվեքննիչ մարմինների կողմից իրականացվող համատեղ հսկողական միջոցառումներին, այդ թվում`</w:t>
      </w:r>
    </w:p>
    <w:p w:rsidR="005E015C" w:rsidRDefault="005E015C" w:rsidP="005E015C">
      <w:pPr>
        <w:pStyle w:val="ListParagraph"/>
        <w:numPr>
          <w:ilvl w:val="0"/>
          <w:numId w:val="22"/>
        </w:numPr>
        <w:tabs>
          <w:tab w:val="left" w:pos="720"/>
        </w:tabs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վերոհիշյալ համատեղ հսկողական միջոցառումների կազմակերպման նախապատրաստական աշխատանքներին (ծրագրերի, հարցաշարերի, համապատասխան որոշումների նախագծերի և հսկողական միջոցառումներին առնչվող այլ փաստաթղթերի կազմում),</w:t>
      </w:r>
    </w:p>
    <w:p w:rsidR="005E015C" w:rsidRDefault="005E015C" w:rsidP="005E015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մասնակցել ներմուծման մաքսատուրքերի մասով ԵԱՏՄ անդամ պետությունների լիազորված մարմիններում՝ գանձապետական համակարգերում (Հայաստանի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Երևան, Բելառուսի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Մինսկ, Ղազախստանի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նախարարության գանձապետարանի կոմիտե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Աստանա, Ղրղզստանի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նախարարության կենտրոնական գանձապետարան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Բիշքեկ և Ռուսաստանի Դաշնության </w:t>
      </w:r>
      <w:r>
        <w:rPr>
          <w:rFonts w:ascii="GHEA Grapalat" w:hAnsi="GHEA Grapalat"/>
          <w:sz w:val="24"/>
          <w:szCs w:val="24"/>
          <w:lang w:val="hy-AM"/>
        </w:rPr>
        <w:t>դաշնային գանձապետարանի միջտարածաշրջանային գործառնական վարչություն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՝ ք. Մոսկվա) իրականացվող համատեղ հսկողական միջոցառումներին,</w:t>
      </w:r>
    </w:p>
    <w:p w:rsidR="005E015C" w:rsidRDefault="005E015C" w:rsidP="005E015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lastRenderedPageBreak/>
        <w:t>իրականացնել ԵԱՏՄ անդամ պետությունների մաքսային մարմիններից հարցման արդյունքներով ստացված փաստաթղթերի ուսումնասիրություն և վերլուծություն,</w:t>
      </w:r>
    </w:p>
    <w:p w:rsidR="005E015C" w:rsidRDefault="005E015C" w:rsidP="005E015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ԵԱՏՄ մարմիններում՝ Եվրասիական տնտեսական հանձնաժողովում (</w:t>
      </w:r>
      <w:r>
        <w:rPr>
          <w:rFonts w:ascii="GHEA Grapalat" w:hAnsi="GHEA Grapalat"/>
          <w:sz w:val="24"/>
          <w:szCs w:val="24"/>
          <w:lang w:val="hy-AM"/>
        </w:rPr>
        <w:t>Ռուսաստանի Դաշնություն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 ք. Մոսկվա) և ԵԱՏՄ դատարանում (Բելառուսի Հանրապետություն ք. Մինսկ) բյուջետային միջոցների ձևավորման, կառավարման ու տնօրինման, գույքի և այլ ակտիվների օգտագործման վերաբերյալ համատեղ հսկողական միջոցառումներին,</w:t>
      </w:r>
    </w:p>
    <w:p w:rsidR="005E015C" w:rsidRDefault="005E015C" w:rsidP="005E015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վերոհիշյալ համատեղ հսկողական միջոցառումների արդյունքներով համապատասխան ամփոփ հաշվետվությունների կազմման, համաձայնեցման և դրանց հաստատման համար այլ նախապատրաստական աշխատանքներին։</w:t>
      </w:r>
    </w:p>
    <w:p w:rsidR="005E015C" w:rsidRDefault="005E015C" w:rsidP="005E015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ԱՊՀ և ԵԱՏՄ անդամ երկրների միջև համագործակցության շրջանակներում իրականացվող միջոցառումների կազմակերպման և արարողակարգային աշխատանքներին, աշխատանքային խմբերի պարբերական բնույթի նիստերին և սեմինարներին,</w:t>
      </w:r>
    </w:p>
    <w:p w:rsidR="005E015C" w:rsidRDefault="005E015C" w:rsidP="005E015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ապահովել Հաշվեքննիչ պալատի ռուսերեն լեզվով նամակագրությունը,</w:t>
      </w:r>
    </w:p>
    <w:p w:rsidR="005E015C" w:rsidRDefault="005E015C" w:rsidP="005E015C">
      <w:pPr>
        <w:pStyle w:val="ListParagraph"/>
        <w:numPr>
          <w:ilvl w:val="0"/>
          <w:numId w:val="21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իրականացնել Բաժնի գործառույթներին առնչվող այլ աշխատանքներ՝ սահմանված ժամկետում և որակով։</w:t>
      </w:r>
    </w:p>
    <w:p w:rsidR="005E015C" w:rsidRDefault="005E015C" w:rsidP="005E015C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5E015C" w:rsidRDefault="005E015C" w:rsidP="005E015C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ՓՈՐՁԱԳԵՏԻՆ ՆԵՐԿԱՅԱՑՎՈՂ ՊԱՀԱՆՋՆԵՐԸ</w:t>
      </w:r>
    </w:p>
    <w:p w:rsidR="005E015C" w:rsidRDefault="005E015C" w:rsidP="005E015C">
      <w:pPr>
        <w:pStyle w:val="ListParagraph"/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5E015C" w:rsidRDefault="005E015C" w:rsidP="005E015C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Բարձրագույն կրթություն, ռուսերեն լեզվի (բանավոր և գրավոր) վարժ</w:t>
      </w:r>
      <w:r>
        <w:rPr>
          <w:rFonts w:ascii="GHEA Grapalat" w:hAnsi="GHEA Grapalat"/>
          <w:color w:val="00B0F0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տիրապետում, առնվազն հինգ տարվա աշխատանքային փորձ՝ արտաքին պետական հաշվեքննության և միջազգային համագործակցության բնագավառում, վերլուծելու, պլանավորելու հմտություններ, համակարգչով և ժամանակակից այլ տեխնիկական միջոցներով վարժ աշխատելու ունակություն, ՀՀ Սահմանադրության, «Հաշվեքննիչ պալատի մասին» ՀՀ օրենքի, Հաշվեքննիչ պալատի կանոնադրության և կանոնակարգի, Հաշվեքննիչ պալատի կողմից մշակված մեթոդաբանությունների և ուղեցույցների իմացություն, ինչպես նաև Ռուսաստանի Դաշնության բյուջետային գործընթացի մեթոդական ապահովման, բյուջետային դասակարգումների վերաբերյալ համապատասխան մեթոդաբանության տիրապետում և Ռուսաստանի Դաշնության բյուջետային համակարգի ընթացակարգերի ստուգման փորձի առկայություն։</w:t>
      </w:r>
    </w:p>
    <w:p w:rsidR="005E015C" w:rsidRDefault="005E015C" w:rsidP="005E015C">
      <w:pPr>
        <w:tabs>
          <w:tab w:val="left" w:pos="8080"/>
          <w:tab w:val="left" w:pos="9072"/>
          <w:tab w:val="left" w:pos="10206"/>
        </w:tabs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5E015C" w:rsidRDefault="005E015C" w:rsidP="005E015C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lastRenderedPageBreak/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ԻՐԱԿԱՆԱՑՄԱՆ ԺԱՄԱՆԱԿԱՀԱՏՎԱԾԸ</w:t>
      </w:r>
    </w:p>
    <w:p w:rsidR="005E015C" w:rsidRDefault="005E015C" w:rsidP="005E015C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5E015C" w:rsidRDefault="005E015C" w:rsidP="005E015C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Փորձագետը ներգրավվում է պայմանագիրը կնքելու օրվանից մինչև մեկ տարի ժամկետով։</w:t>
      </w:r>
    </w:p>
    <w:p w:rsidR="005E015C" w:rsidRDefault="005E015C" w:rsidP="005E015C">
      <w:pPr>
        <w:pStyle w:val="ListParagraph"/>
        <w:numPr>
          <w:ilvl w:val="0"/>
          <w:numId w:val="2"/>
        </w:numPr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ԱԿՆԿԱԼՎՈՂ ԱՐԴՅՈՒՆՔԸ</w:t>
      </w:r>
    </w:p>
    <w:p w:rsidR="005E015C" w:rsidRDefault="005E015C" w:rsidP="005E015C">
      <w:pPr>
        <w:pStyle w:val="ListParagraph"/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5E015C" w:rsidRDefault="005E015C" w:rsidP="005E015C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Փորձագետի կողմից իրականացվող աշխատանքների ակնկալվող արդյունքը՝</w:t>
      </w:r>
    </w:p>
    <w:p w:rsidR="005E015C" w:rsidRDefault="005E015C" w:rsidP="005E015C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Հաշվեքննիչ պալատի՝ «Եվրասիական տնտեսական միության մասին» միջազգային պայմանագրով նախատեսված ԵԱՏՄ անդամ պետության բարձրագույն հաշվեքննիչ մարմինների հետ երկու համատեղ հսկողական միջոցառումներին Հայաստանի Հանրապետությունը ներկայացնելու պարտավորության կատարում,</w:t>
      </w:r>
    </w:p>
    <w:p w:rsidR="005E015C" w:rsidRDefault="005E015C" w:rsidP="005E015C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«Եվրասիական տնտեսական միության մասին» միջազգային պայմանագրով նախատեսված ԵԱՏՄ անդամ պետության բարձրագույն հաշվեքննիչ մարմինների հետ երկու համատեղ հսկողական միջոցառումների արդյունքներով կազմված համապատասխան ամփոփ հաշվետվությունների կազմում, համաձայնեցում և դրանց հաստատման համար այլ աշխատանքների կատարում,</w:t>
      </w:r>
    </w:p>
    <w:p w:rsidR="005E015C" w:rsidRDefault="005E015C" w:rsidP="005E015C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ռուսերեն լեզվով մասնագիտական թարգմանություններ,</w:t>
      </w:r>
    </w:p>
    <w:p w:rsidR="005E015C" w:rsidRDefault="005E015C" w:rsidP="005E015C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մասնակցություն ԱՊՀ և ԵԱՏՄ երկրների համատեղ աշխատանքային խմբերի կողմից իրականցվող </w:t>
      </w:r>
      <w:r>
        <w:rPr>
          <w:rFonts w:ascii="GHEA Grapalat" w:hAnsi="GHEA Grapalat"/>
          <w:sz w:val="24"/>
          <w:szCs w:val="24"/>
          <w:lang w:val="hy-AM"/>
        </w:rPr>
        <w:t>աշխատանքների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ն, պարբերական սեմինարներին, անհրաժեշտության դեպքում՝ զեկույցների և շնորհանդեսների կազմում,</w:t>
      </w:r>
    </w:p>
    <w:p w:rsidR="005E015C" w:rsidRDefault="005E015C" w:rsidP="005E015C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ԱՊՀ և ԵԱՏՄ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երկրների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իրավասու մարմինների </w:t>
      </w:r>
      <w:r>
        <w:rPr>
          <w:rFonts w:ascii="GHEA Grapalat" w:hAnsi="GHEA Grapalat"/>
          <w:sz w:val="24"/>
          <w:szCs w:val="24"/>
          <w:lang w:val="hy-AM"/>
        </w:rPr>
        <w:t>հետ անհրաժեշտ նամակագրության ապահովում։</w:t>
      </w:r>
    </w:p>
    <w:p w:rsidR="005E015C" w:rsidRDefault="005E015C" w:rsidP="005E015C">
      <w:pPr>
        <w:pStyle w:val="ListParagraph"/>
        <w:spacing w:after="0" w:line="360" w:lineRule="auto"/>
        <w:ind w:left="1146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:rsidR="005E015C" w:rsidRDefault="005E015C" w:rsidP="005E015C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ՀԱՇՎԵՏՎՈՒԹՅՈՒՆՆԵՐ ՆԵՐԿԱՅԱՑՆԵԼՈՒ ԺԱՄԿԵՏՆԵՐԸ</w:t>
      </w:r>
    </w:p>
    <w:p w:rsidR="005E015C" w:rsidRDefault="005E015C" w:rsidP="005E015C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5E015C" w:rsidRDefault="005E015C" w:rsidP="005E015C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Փորձագետը, պայմանագրի կատարման ընթացքում, յուրաքանչյուր ամսվա ավարտից հետո հնգօրյա ժամկետում և պայմանագրի ժամկետի ավարտից 5 օր առաջ ստորաբաժանման ղեկավարի միջոցով հաշվետվություն է ներկայացնում Հաշվեքննիչ պալատի գլխավոր քարտուղարին</w:t>
      </w:r>
      <w:r>
        <w:rPr>
          <w:rFonts w:ascii="GHEA Grapalat" w:hAnsi="GHEA Grapalat"/>
          <w:sz w:val="24"/>
          <w:szCs w:val="24"/>
          <w:lang w:val="hy-AM"/>
        </w:rPr>
        <w:t>:</w:t>
      </w:r>
    </w:p>
    <w:p w:rsidR="005E015C" w:rsidRDefault="005E015C" w:rsidP="005E015C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5E015C" w:rsidRDefault="005E015C" w:rsidP="005E015C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lastRenderedPageBreak/>
        <w:t>6. ԱՇԽԱՏԱՆՔՆԵՐԻ ԳՆԱՀԱՏՄԱՆ ՉԱՓԱՆԻՇՆԵՐԸ,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ԱՇԽԱՏԱՆՔՆԵՐԻ ԳՆԱՀԱՏՄԱՆ ԱՐԴՅՈՒՆՔՆԵՐԻ ԱՄՓՈՓՄԱՆ ԺԱՄԿԵՏՆԵՐԸ</w:t>
      </w:r>
    </w:p>
    <w:p w:rsidR="005E015C" w:rsidRDefault="005E015C" w:rsidP="005E015C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5E015C" w:rsidRDefault="005E015C" w:rsidP="005E015C">
      <w:pPr>
        <w:tabs>
          <w:tab w:val="left" w:pos="567"/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Փորձագետի աշխատանքը գնահատվում է մինչև պայմանագրի ժամկետի լրանալը</w:t>
      </w:r>
      <w:r>
        <w:rPr>
          <w:rFonts w:ascii="GHEA Grapalat" w:hAnsi="GHEA Grapalat"/>
          <w:sz w:val="24"/>
          <w:szCs w:val="24"/>
          <w:lang w:val="hy-AM"/>
        </w:rPr>
        <w:t>: Աշխատանքը գնահատվում է սույն ծրագրի 5-րդ կետով սահմանված կարգով և ժամկետում ներկայացված հաշվետվությունների հիման վրա: Կատարած աշխատանքի արդյունքը գնահատվում է անբավարար, բավարար, լավ կամ գերազանց: Աշխատանքի արդյունքը անբավարար գնահատվելու դեպքում, գործատուի հայեցողությամբ պայմանագիրը կարող է վաղաժամկետ միակողմանի լուծվել։</w:t>
      </w:r>
    </w:p>
    <w:p w:rsidR="005E015C" w:rsidRDefault="005E015C" w:rsidP="005E015C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B03480" w:rsidRDefault="00B03480" w:rsidP="00B03480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Հարցազրույցին մասնակցելու համար անհրաժեշտ է ներկայացնել հետևյալ փաստաթղթերը՝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անձնագրի և/կամ նույնականացման քարտի պատճենը:</w:t>
      </w:r>
    </w:p>
    <w:p w:rsidR="009218B2" w:rsidRPr="00892E87" w:rsidRDefault="009218B2" w:rsidP="009218B2">
      <w:pPr>
        <w:pStyle w:val="NormalWeb"/>
        <w:spacing w:after="0" w:afterAutospacing="0" w:line="360" w:lineRule="auto"/>
        <w:jc w:val="both"/>
        <w:rPr>
          <w:rStyle w:val="Strong"/>
          <w:color w:val="FF0000"/>
          <w:lang w:val="hy-AM"/>
        </w:rPr>
      </w:pPr>
      <w:r>
        <w:rPr>
          <w:rFonts w:ascii="GHEA Grapalat" w:hAnsi="GHEA Grapalat" w:cs="Sylfaen"/>
          <w:b/>
          <w:lang w:val="hy-AM"/>
        </w:rPr>
        <w:t>Փաստաթղթերի</w:t>
      </w:r>
      <w:r>
        <w:rPr>
          <w:rStyle w:val="Strong"/>
          <w:rFonts w:ascii="GHEA Grapalat" w:hAnsi="GHEA Grapalat" w:cs="Sylfaen"/>
          <w:lang w:val="hy-AM"/>
        </w:rPr>
        <w:t xml:space="preserve"> ընդունման վերջնաժամկետն է  </w:t>
      </w:r>
      <w:r w:rsidR="0020381B" w:rsidRPr="005E015C">
        <w:rPr>
          <w:rStyle w:val="Strong"/>
          <w:rFonts w:ascii="GHEA Grapalat" w:hAnsi="GHEA Grapalat" w:cs="Sylfaen"/>
          <w:lang w:val="hy-AM"/>
        </w:rPr>
        <w:t>26.12</w:t>
      </w:r>
      <w:r w:rsidR="00D83795" w:rsidRPr="005E015C">
        <w:rPr>
          <w:rStyle w:val="Strong"/>
          <w:rFonts w:ascii="GHEA Grapalat" w:hAnsi="GHEA Grapalat" w:cs="Sylfaen"/>
          <w:lang w:val="hy-AM"/>
        </w:rPr>
        <w:t>.2024</w:t>
      </w:r>
      <w:r w:rsidRPr="005E015C">
        <w:rPr>
          <w:rStyle w:val="Strong"/>
          <w:rFonts w:ascii="GHEA Grapalat" w:hAnsi="GHEA Grapalat" w:cs="Sylfaen"/>
          <w:lang w:val="hy-AM"/>
        </w:rPr>
        <w:t>թ.</w:t>
      </w:r>
    </w:p>
    <w:p w:rsidR="009218B2" w:rsidRPr="009218B2" w:rsidRDefault="009218B2" w:rsidP="009218B2">
      <w:pPr>
        <w:spacing w:after="0" w:line="360" w:lineRule="auto"/>
        <w:jc w:val="both"/>
        <w:rPr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ՀՀ քաղաքացին փաստաթղթերը ներկայացնում է անձամբ կամ էլեկտրոնային փոստի միջոցով:</w:t>
      </w:r>
    </w:p>
    <w:p w:rsidR="009218B2" w:rsidRPr="009218B2" w:rsidRDefault="009218B2" w:rsidP="009218B2">
      <w:pPr>
        <w:spacing w:after="0" w:line="360" w:lineRule="auto"/>
        <w:jc w:val="both"/>
        <w:rPr>
          <w:rStyle w:val="Strong"/>
          <w:b w:val="0"/>
          <w:bCs w:val="0"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>ք. Երևան, Բաղրամյան 19, ՀՀ հաշվեքննիչ պալատ</w:t>
      </w:r>
    </w:p>
    <w:p w:rsidR="009218B2" w:rsidRPr="009218B2" w:rsidRDefault="009218B2" w:rsidP="009218B2">
      <w:pPr>
        <w:pStyle w:val="NormalWeb"/>
        <w:tabs>
          <w:tab w:val="left" w:pos="6850"/>
        </w:tabs>
        <w:spacing w:beforeAutospacing="0" w:after="0" w:afterAutospacing="0" w:line="360" w:lineRule="auto"/>
        <w:ind w:left="720"/>
        <w:jc w:val="both"/>
        <w:rPr>
          <w:bCs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 xml:space="preserve">հեռ. 011-888-145,  էլ.փոստ՝ </w:t>
      </w:r>
      <w:r>
        <w:rPr>
          <w:rStyle w:val="Strong"/>
          <w:rFonts w:ascii="GHEA Grapalat" w:hAnsi="GHEA Grapalat" w:cs="Sylfaen"/>
          <w:color w:val="FF0000"/>
          <w:lang w:val="hy-AM"/>
        </w:rPr>
        <w:t xml:space="preserve"> </w:t>
      </w:r>
      <w:hyperlink r:id="rId5" w:history="1">
        <w:r w:rsidR="00892E87" w:rsidRPr="004F1C70">
          <w:rPr>
            <w:rStyle w:val="Hyperlink"/>
            <w:rFonts w:ascii="GHEA Grapalat" w:hAnsi="GHEA Grapalat" w:cs="Sylfaen"/>
            <w:lang w:val="hy-AM"/>
          </w:rPr>
          <w:t>ani.</w:t>
        </w:r>
        <w:r w:rsidR="00892E87" w:rsidRPr="00892E87">
          <w:rPr>
            <w:rStyle w:val="Hyperlink"/>
            <w:rFonts w:ascii="GHEA Grapalat" w:hAnsi="GHEA Grapalat" w:cs="Sylfaen"/>
            <w:lang w:val="hy-AM"/>
          </w:rPr>
          <w:t>karapetyan</w:t>
        </w:r>
        <w:r w:rsidR="00892E87" w:rsidRPr="004F1C70">
          <w:rPr>
            <w:rStyle w:val="Hyperlink"/>
            <w:rFonts w:ascii="GHEA Grapalat" w:hAnsi="GHEA Grapalat" w:cs="Sylfaen"/>
            <w:lang w:val="hy-AM"/>
          </w:rPr>
          <w:t>@armsai.am</w:t>
        </w:r>
      </w:hyperlink>
      <w:r>
        <w:rPr>
          <w:rStyle w:val="Strong"/>
          <w:rFonts w:ascii="GHEA Grapalat" w:hAnsi="GHEA Grapalat" w:cs="Sylfaen"/>
          <w:lang w:val="hy-AM"/>
        </w:rPr>
        <w:t>:</w:t>
      </w:r>
      <w:r>
        <w:rPr>
          <w:rStyle w:val="Strong"/>
          <w:rFonts w:ascii="GHEA Grapalat" w:hAnsi="GHEA Grapalat" w:cs="Sylfaen"/>
          <w:color w:val="FF0000"/>
          <w:lang w:val="hy-AM"/>
        </w:rPr>
        <w:tab/>
      </w:r>
    </w:p>
    <w:p w:rsidR="009218B2" w:rsidRDefault="009218B2" w:rsidP="009218B2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Հարցազրույցին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անհրաժեշտ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է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ներկայանալ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անձը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հավաստող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և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ներկայացված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փաստաթղթերի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բնօրինակներով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</w:t>
      </w:r>
    </w:p>
    <w:p w:rsidR="00534821" w:rsidRPr="009218B2" w:rsidRDefault="00F4421E">
      <w:pPr>
        <w:rPr>
          <w:lang w:val="hy-AM"/>
        </w:rPr>
      </w:pPr>
    </w:p>
    <w:sectPr w:rsidR="00534821" w:rsidRPr="009218B2" w:rsidSect="009218B2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2F3C"/>
    <w:multiLevelType w:val="hybridMultilevel"/>
    <w:tmpl w:val="378EC192"/>
    <w:lvl w:ilvl="0" w:tplc="99AA79B0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75B1F"/>
    <w:multiLevelType w:val="hybridMultilevel"/>
    <w:tmpl w:val="07E2D1C6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D68492E"/>
    <w:multiLevelType w:val="hybridMultilevel"/>
    <w:tmpl w:val="30E2D9CE"/>
    <w:lvl w:ilvl="0" w:tplc="F09ADDDE"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="Cambria Mat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E18D1"/>
    <w:multiLevelType w:val="hybridMultilevel"/>
    <w:tmpl w:val="C792E9CA"/>
    <w:lvl w:ilvl="0" w:tplc="90883684">
      <w:numFmt w:val="bullet"/>
      <w:lvlText w:val="-"/>
      <w:lvlJc w:val="left"/>
      <w:pPr>
        <w:ind w:left="1080" w:hanging="360"/>
      </w:pPr>
      <w:rPr>
        <w:rFonts w:ascii="GHEA Grapalat" w:eastAsiaTheme="minorEastAsia" w:hAnsi="GHEA Grapalat" w:cstheme="minorBidi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875CE0"/>
    <w:multiLevelType w:val="hybridMultilevel"/>
    <w:tmpl w:val="C2B66A7C"/>
    <w:lvl w:ilvl="0" w:tplc="B2B2F1BA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226" w:hanging="360"/>
      </w:pPr>
    </w:lvl>
    <w:lvl w:ilvl="2" w:tplc="0809001B">
      <w:start w:val="1"/>
      <w:numFmt w:val="lowerRoman"/>
      <w:lvlText w:val="%3."/>
      <w:lvlJc w:val="right"/>
      <w:pPr>
        <w:ind w:left="2946" w:hanging="180"/>
      </w:pPr>
    </w:lvl>
    <w:lvl w:ilvl="3" w:tplc="0809000F">
      <w:start w:val="1"/>
      <w:numFmt w:val="decimal"/>
      <w:lvlText w:val="%4."/>
      <w:lvlJc w:val="left"/>
      <w:pPr>
        <w:ind w:left="3666" w:hanging="360"/>
      </w:pPr>
    </w:lvl>
    <w:lvl w:ilvl="4" w:tplc="08090019">
      <w:start w:val="1"/>
      <w:numFmt w:val="lowerLetter"/>
      <w:lvlText w:val="%5."/>
      <w:lvlJc w:val="left"/>
      <w:pPr>
        <w:ind w:left="4386" w:hanging="360"/>
      </w:pPr>
    </w:lvl>
    <w:lvl w:ilvl="5" w:tplc="0809001B">
      <w:start w:val="1"/>
      <w:numFmt w:val="lowerRoman"/>
      <w:lvlText w:val="%6."/>
      <w:lvlJc w:val="right"/>
      <w:pPr>
        <w:ind w:left="5106" w:hanging="180"/>
      </w:pPr>
    </w:lvl>
    <w:lvl w:ilvl="6" w:tplc="0809000F">
      <w:start w:val="1"/>
      <w:numFmt w:val="decimal"/>
      <w:lvlText w:val="%7."/>
      <w:lvlJc w:val="left"/>
      <w:pPr>
        <w:ind w:left="5826" w:hanging="360"/>
      </w:pPr>
    </w:lvl>
    <w:lvl w:ilvl="7" w:tplc="08090019">
      <w:start w:val="1"/>
      <w:numFmt w:val="lowerLetter"/>
      <w:lvlText w:val="%8."/>
      <w:lvlJc w:val="left"/>
      <w:pPr>
        <w:ind w:left="6546" w:hanging="360"/>
      </w:pPr>
    </w:lvl>
    <w:lvl w:ilvl="8" w:tplc="0809001B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458A7A0D"/>
    <w:multiLevelType w:val="hybridMultilevel"/>
    <w:tmpl w:val="808E54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CD66AC"/>
    <w:multiLevelType w:val="hybridMultilevel"/>
    <w:tmpl w:val="0D9C62FC"/>
    <w:lvl w:ilvl="0" w:tplc="BA247BC4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B5C"/>
    <w:multiLevelType w:val="hybridMultilevel"/>
    <w:tmpl w:val="5BF66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06904"/>
    <w:multiLevelType w:val="hybridMultilevel"/>
    <w:tmpl w:val="1178A470"/>
    <w:lvl w:ilvl="0" w:tplc="042B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2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3"/>
  </w:num>
  <w:num w:numId="11">
    <w:abstractNumId w:val="2"/>
  </w:num>
  <w:num w:numId="12">
    <w:abstractNumId w:val="2"/>
  </w:num>
  <w:num w:numId="13">
    <w:abstractNumId w:val="7"/>
  </w:num>
  <w:num w:numId="14">
    <w:abstractNumId w:val="3"/>
  </w:num>
  <w:num w:numId="15">
    <w:abstractNumId w:val="1"/>
  </w:num>
  <w:num w:numId="16">
    <w:abstractNumId w:val="2"/>
  </w:num>
  <w:num w:numId="17">
    <w:abstractNumId w:val="7"/>
  </w:num>
  <w:num w:numId="18">
    <w:abstractNumId w:val="3"/>
  </w:num>
  <w:num w:numId="19">
    <w:abstractNumId w:val="1"/>
  </w:num>
  <w:num w:numId="20">
    <w:abstractNumId w:val="2"/>
  </w:num>
  <w:num w:numId="21">
    <w:abstractNumId w:val="7"/>
  </w:num>
  <w:num w:numId="22">
    <w:abstractNumId w:val="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74"/>
    <w:rsid w:val="0020381B"/>
    <w:rsid w:val="00231727"/>
    <w:rsid w:val="003C0E46"/>
    <w:rsid w:val="004B143C"/>
    <w:rsid w:val="005E015C"/>
    <w:rsid w:val="006E7BAC"/>
    <w:rsid w:val="00730B6F"/>
    <w:rsid w:val="00892E87"/>
    <w:rsid w:val="009218B2"/>
    <w:rsid w:val="00B03480"/>
    <w:rsid w:val="00BB2D9F"/>
    <w:rsid w:val="00D83795"/>
    <w:rsid w:val="00DB27B6"/>
    <w:rsid w:val="00DE1697"/>
    <w:rsid w:val="00E62774"/>
    <w:rsid w:val="00F4421E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2DB3C-8D44-4506-90C3-B31EFD6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8B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8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1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18B2"/>
    <w:rPr>
      <w:b/>
      <w:bCs/>
    </w:rPr>
  </w:style>
  <w:style w:type="paragraph" w:styleId="ListParagraph">
    <w:name w:val="List Paragraph"/>
    <w:basedOn w:val="Normal"/>
    <w:uiPriority w:val="34"/>
    <w:qFormat/>
    <w:rsid w:val="009218B2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892E87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92E87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i.karapetyan@armsai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Anna Akbalyan</cp:lastModifiedBy>
  <cp:revision>2</cp:revision>
  <dcterms:created xsi:type="dcterms:W3CDTF">2024-12-23T06:22:00Z</dcterms:created>
  <dcterms:modified xsi:type="dcterms:W3CDTF">2024-12-23T06:22:00Z</dcterms:modified>
</cp:coreProperties>
</file>